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35E2C" w14:textId="77777777" w:rsidR="008D239D" w:rsidRPr="00EA04AD" w:rsidRDefault="00246477">
      <w:r w:rsidRPr="00EA04AD">
        <w:rPr>
          <w:noProof/>
        </w:rPr>
        <mc:AlternateContent>
          <mc:Choice Requires="wps">
            <w:drawing>
              <wp:anchor distT="0" distB="0" distL="114300" distR="114300" simplePos="0" relativeHeight="251657216" behindDoc="0" locked="0" layoutInCell="1" allowOverlap="1" wp14:anchorId="6EA2E1B5" wp14:editId="07777777">
                <wp:simplePos x="0" y="0"/>
                <wp:positionH relativeFrom="column">
                  <wp:posOffset>-63500</wp:posOffset>
                </wp:positionH>
                <wp:positionV relativeFrom="paragraph">
                  <wp:posOffset>-228600</wp:posOffset>
                </wp:positionV>
                <wp:extent cx="2476500" cy="571500"/>
                <wp:effectExtent l="12700" t="9525" r="6350" b="952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71500"/>
                        </a:xfrm>
                        <a:prstGeom prst="rect">
                          <a:avLst/>
                        </a:prstGeom>
                        <a:solidFill>
                          <a:srgbClr val="FFFFFF"/>
                        </a:solidFill>
                        <a:ln w="9525">
                          <a:solidFill>
                            <a:srgbClr val="000000"/>
                          </a:solidFill>
                          <a:miter lim="800000"/>
                          <a:headEnd/>
                          <a:tailEnd/>
                        </a:ln>
                      </wps:spPr>
                      <wps:txbx>
                        <w:txbxContent>
                          <w:p w14:paraId="4D7A4248" w14:textId="77777777" w:rsidR="00EA04AD" w:rsidRPr="0021744E" w:rsidRDefault="0021744E">
                            <w:pPr>
                              <w:rPr>
                                <w:b/>
                                <w:sz w:val="24"/>
                                <w:szCs w:val="24"/>
                              </w:rPr>
                            </w:pPr>
                            <w:r w:rsidRPr="0021744E">
                              <w:rPr>
                                <w:b/>
                                <w:sz w:val="24"/>
                                <w:szCs w:val="24"/>
                              </w:rPr>
                              <w:t xml:space="preserve">SDP </w:t>
                            </w:r>
                            <w:r w:rsidR="00034297">
                              <w:rPr>
                                <w:b/>
                                <w:sz w:val="24"/>
                                <w:szCs w:val="24"/>
                              </w:rPr>
                              <w:t>2020-21</w:t>
                            </w:r>
                            <w:r w:rsidR="00C9342E">
                              <w:rPr>
                                <w:b/>
                                <w:sz w:val="24"/>
                                <w:szCs w:val="24"/>
                              </w:rPr>
                              <w:t xml:space="preserve"> </w:t>
                            </w:r>
                            <w:r w:rsidRPr="0021744E">
                              <w:rPr>
                                <w:b/>
                                <w:sz w:val="24"/>
                                <w:szCs w:val="24"/>
                              </w:rPr>
                              <w:t>Subject:</w:t>
                            </w:r>
                            <w:r w:rsidR="00A47E9C">
                              <w:rPr>
                                <w:b/>
                                <w:sz w:val="24"/>
                                <w:szCs w:val="24"/>
                              </w:rPr>
                              <w:t xml:space="preserve"> </w:t>
                            </w:r>
                            <w:r w:rsidR="00DE51F4">
                              <w:rPr>
                                <w:b/>
                                <w:sz w:val="24"/>
                                <w:szCs w:val="24"/>
                              </w:rPr>
                              <w:t>Catch Up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6EA2E1B5">
                <v:stroke joinstyle="miter"/>
                <v:path gradientshapeok="t" o:connecttype="rect"/>
              </v:shapetype>
              <v:shape id="Text Box 4" style="position:absolute;margin-left:-5pt;margin-top:-18pt;width:1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">
                <v:textbox>
                  <w:txbxContent>
                    <w:p w:rsidRPr="0021744E" w:rsidR="00EA04AD" w:rsidRDefault="0021744E" w14:paraId="4D7A4248" w14:textId="77777777">
                      <w:pPr>
                        <w:rPr>
                          <w:b/>
                          <w:sz w:val="24"/>
                          <w:szCs w:val="24"/>
                        </w:rPr>
                      </w:pPr>
                      <w:r w:rsidRPr="0021744E">
                        <w:rPr>
                          <w:b/>
                          <w:sz w:val="24"/>
                          <w:szCs w:val="24"/>
                        </w:rPr>
                        <w:t xml:space="preserve">SDP </w:t>
                      </w:r>
                      <w:r w:rsidR="00034297">
                        <w:rPr>
                          <w:b/>
                          <w:sz w:val="24"/>
                          <w:szCs w:val="24"/>
                        </w:rPr>
                        <w:t>2020-21</w:t>
                      </w:r>
                      <w:r w:rsidR="00C9342E">
                        <w:rPr>
                          <w:b/>
                          <w:sz w:val="24"/>
                          <w:szCs w:val="24"/>
                        </w:rPr>
                        <w:t xml:space="preserve"> </w:t>
                      </w:r>
                      <w:r w:rsidRPr="0021744E">
                        <w:rPr>
                          <w:b/>
                          <w:sz w:val="24"/>
                          <w:szCs w:val="24"/>
                        </w:rPr>
                        <w:t>Subject:</w:t>
                      </w:r>
                      <w:r w:rsidR="00A47E9C">
                        <w:rPr>
                          <w:b/>
                          <w:sz w:val="24"/>
                          <w:szCs w:val="24"/>
                        </w:rPr>
                        <w:t xml:space="preserve"> </w:t>
                      </w:r>
                      <w:r w:rsidR="00DE51F4">
                        <w:rPr>
                          <w:b/>
                          <w:sz w:val="24"/>
                          <w:szCs w:val="24"/>
                        </w:rPr>
                        <w:t>Catch Up Funding</w:t>
                      </w:r>
                    </w:p>
                  </w:txbxContent>
                </v:textbox>
                <w10:wrap type="square"/>
              </v:shape>
            </w:pict>
          </mc:Fallback>
        </mc:AlternateContent>
      </w:r>
      <w:r w:rsidRPr="00EA04AD">
        <w:rPr>
          <w:noProof/>
        </w:rPr>
        <mc:AlternateContent>
          <mc:Choice Requires="wps">
            <w:drawing>
              <wp:anchor distT="0" distB="0" distL="114300" distR="114300" simplePos="0" relativeHeight="251658240" behindDoc="0" locked="0" layoutInCell="1" allowOverlap="1" wp14:anchorId="2F4EF568" wp14:editId="07777777">
                <wp:simplePos x="0" y="0"/>
                <wp:positionH relativeFrom="column">
                  <wp:posOffset>2667000</wp:posOffset>
                </wp:positionH>
                <wp:positionV relativeFrom="paragraph">
                  <wp:posOffset>-228600</wp:posOffset>
                </wp:positionV>
                <wp:extent cx="6985000" cy="571500"/>
                <wp:effectExtent l="9525" t="9525" r="6350" b="952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571500"/>
                        </a:xfrm>
                        <a:prstGeom prst="rect">
                          <a:avLst/>
                        </a:prstGeom>
                        <a:solidFill>
                          <a:srgbClr val="FFFFFF"/>
                        </a:solidFill>
                        <a:ln w="9525">
                          <a:solidFill>
                            <a:srgbClr val="000000"/>
                          </a:solidFill>
                          <a:miter lim="800000"/>
                          <a:headEnd/>
                          <a:tailEnd/>
                        </a:ln>
                      </wps:spPr>
                      <wps:txbx>
                        <w:txbxContent>
                          <w:p w14:paraId="403394F6" w14:textId="4D3A480B" w:rsidR="00A47E9C" w:rsidRDefault="00EA04AD" w:rsidP="00FC112A">
                            <w:r w:rsidRPr="00FC112A">
                              <w:rPr>
                                <w:b/>
                              </w:rPr>
                              <w:t>O</w:t>
                            </w:r>
                            <w:r w:rsidR="00385AE6">
                              <w:rPr>
                                <w:b/>
                              </w:rPr>
                              <w:t>verall Target –</w:t>
                            </w:r>
                            <w:r w:rsidR="00890D19">
                              <w:rPr>
                                <w:b/>
                              </w:rPr>
                              <w:t xml:space="preserve"> To narrow the gap in attainment of pupils whose education was disrupted due to </w:t>
                            </w:r>
                            <w:proofErr w:type="gramStart"/>
                            <w:r w:rsidR="00890D19">
                              <w:rPr>
                                <w:b/>
                              </w:rPr>
                              <w:t>lockdown.</w:t>
                            </w:r>
                            <w:proofErr w:type="gramEnd"/>
                          </w:p>
                          <w:p w14:paraId="672A6659" w14:textId="77777777" w:rsidR="00EA04AD" w:rsidRDefault="00EA04AD"/>
                          <w:p w14:paraId="0A37501D" w14:textId="77777777" w:rsidR="00EA04AD" w:rsidRDefault="00EA04AD">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EF568" id="_x0000_t202" coordsize="21600,21600" o:spt="202" path="m,l,21600r21600,l21600,xe">
                <v:stroke joinstyle="miter"/>
                <v:path gradientshapeok="t" o:connecttype="rect"/>
              </v:shapetype>
              <v:shape id="Text Box 7" o:spid="_x0000_s1027" type="#_x0000_t202" style="position:absolute;margin-left:210pt;margin-top:-18pt;width:55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">
                <v:textbox>
                  <w:txbxContent>
                    <w:p w14:paraId="403394F6" w14:textId="4D3A480B" w:rsidR="00A47E9C" w:rsidRDefault="00EA04AD" w:rsidP="00FC112A">
                      <w:r w:rsidRPr="00FC112A">
                        <w:rPr>
                          <w:b/>
                        </w:rPr>
                        <w:t>O</w:t>
                      </w:r>
                      <w:r w:rsidR="00385AE6">
                        <w:rPr>
                          <w:b/>
                        </w:rPr>
                        <w:t>verall Target –</w:t>
                      </w:r>
                      <w:r w:rsidR="00890D19">
                        <w:rPr>
                          <w:b/>
                        </w:rPr>
                        <w:t xml:space="preserve"> To narrow the gap in attainment of pupils whose education was disrupted due to </w:t>
                      </w:r>
                      <w:proofErr w:type="gramStart"/>
                      <w:r w:rsidR="00890D19">
                        <w:rPr>
                          <w:b/>
                        </w:rPr>
                        <w:t>lockdown.</w:t>
                      </w:r>
                      <w:proofErr w:type="gramEnd"/>
                    </w:p>
                    <w:p w14:paraId="672A6659" w14:textId="77777777" w:rsidR="00EA04AD" w:rsidRDefault="00EA04AD"/>
                    <w:p w14:paraId="0A37501D" w14:textId="77777777" w:rsidR="00EA04AD" w:rsidRDefault="00EA04AD">
                      <w:pPr>
                        <w:rPr>
                          <w:noProof/>
                        </w:rPr>
                      </w:pP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672"/>
        <w:gridCol w:w="7322"/>
      </w:tblGrid>
      <w:tr w:rsidR="008D239D" w:rsidRPr="00EA04AD" w14:paraId="22955669" w14:textId="77777777" w:rsidTr="00EA04AD">
        <w:trPr>
          <w:trHeight w:val="251"/>
        </w:trPr>
        <w:tc>
          <w:tcPr>
            <w:tcW w:w="5208" w:type="dxa"/>
            <w:shd w:val="clear" w:color="auto" w:fill="4F81BD"/>
          </w:tcPr>
          <w:p w14:paraId="31DE347E" w14:textId="77777777" w:rsidR="008D239D" w:rsidRPr="00EA04AD" w:rsidRDefault="008D239D">
            <w:pPr>
              <w:rPr>
                <w:rFonts w:ascii="Comic Sans MS" w:hAnsi="Comic Sans MS"/>
                <w:b/>
              </w:rPr>
            </w:pPr>
            <w:r w:rsidRPr="00EA04AD">
              <w:rPr>
                <w:rFonts w:ascii="Comic Sans MS" w:hAnsi="Comic Sans MS"/>
                <w:b/>
              </w:rPr>
              <w:t>Current Situation/Critical Analysis</w:t>
            </w:r>
          </w:p>
        </w:tc>
        <w:tc>
          <w:tcPr>
            <w:tcW w:w="2700" w:type="dxa"/>
            <w:shd w:val="clear" w:color="auto" w:fill="4F81BD"/>
          </w:tcPr>
          <w:p w14:paraId="616D65B0" w14:textId="77777777" w:rsidR="008D239D" w:rsidRPr="00EA04AD" w:rsidRDefault="008D239D">
            <w:pPr>
              <w:rPr>
                <w:rFonts w:ascii="Comic Sans MS" w:hAnsi="Comic Sans MS"/>
                <w:b/>
              </w:rPr>
            </w:pPr>
            <w:r w:rsidRPr="00EA04AD">
              <w:rPr>
                <w:rFonts w:ascii="Comic Sans MS" w:hAnsi="Comic Sans MS"/>
                <w:b/>
              </w:rPr>
              <w:t>Supporting Evidence</w:t>
            </w:r>
          </w:p>
        </w:tc>
        <w:tc>
          <w:tcPr>
            <w:tcW w:w="7444" w:type="dxa"/>
            <w:shd w:val="clear" w:color="auto" w:fill="4F81BD"/>
          </w:tcPr>
          <w:p w14:paraId="131CE308" w14:textId="77777777" w:rsidR="008D239D" w:rsidRPr="00EA04AD" w:rsidRDefault="008D239D">
            <w:pPr>
              <w:rPr>
                <w:rFonts w:ascii="Comic Sans MS" w:hAnsi="Comic Sans MS"/>
                <w:b/>
              </w:rPr>
            </w:pPr>
            <w:r w:rsidRPr="00EA04AD">
              <w:rPr>
                <w:rFonts w:ascii="Comic Sans MS" w:hAnsi="Comic Sans MS"/>
                <w:b/>
              </w:rPr>
              <w:t>Required Changes (particularly teaching and learning</w:t>
            </w:r>
            <w:r w:rsidR="007B35DD" w:rsidRPr="00EA04AD">
              <w:rPr>
                <w:rFonts w:ascii="Comic Sans MS" w:hAnsi="Comic Sans MS"/>
                <w:b/>
              </w:rPr>
              <w:t>)</w:t>
            </w:r>
          </w:p>
        </w:tc>
      </w:tr>
      <w:tr w:rsidR="008D239D" w:rsidRPr="00EA04AD" w14:paraId="7858F6DF" w14:textId="77777777" w:rsidTr="008D239D">
        <w:tc>
          <w:tcPr>
            <w:tcW w:w="5208" w:type="dxa"/>
          </w:tcPr>
          <w:p w14:paraId="7C91B84E" w14:textId="0EEEEF6E" w:rsidR="005F4376" w:rsidRDefault="0035739A" w:rsidP="003A4CCF">
            <w:pPr>
              <w:pStyle w:val="NoSpacing"/>
            </w:pPr>
            <w:r>
              <w:t xml:space="preserve">Approximately 80 </w:t>
            </w:r>
            <w:proofErr w:type="gramStart"/>
            <w:r>
              <w:t>pupils</w:t>
            </w:r>
            <w:proofErr w:type="gramEnd"/>
            <w:r>
              <w:t xml:space="preserve"> fall into the category of most disadvantaged. These pupils have fallen further behind due to a lack of support at home, lack of access to technology. Catch up funding of £</w:t>
            </w:r>
            <w:r w:rsidR="00D14965">
              <w:t>22000</w:t>
            </w:r>
            <w:r>
              <w:t xml:space="preserve"> is available to school in the Autumn term 2</w:t>
            </w:r>
            <w:r w:rsidR="003A4CCF">
              <w:t xml:space="preserve">020 for all pupils.  PP funding to </w:t>
            </w:r>
            <w:proofErr w:type="gramStart"/>
            <w:r w:rsidR="003A4CCF">
              <w:t>be used</w:t>
            </w:r>
            <w:proofErr w:type="gramEnd"/>
            <w:r w:rsidR="003A4CCF">
              <w:t xml:space="preserve"> for most disadvantaged. </w:t>
            </w:r>
          </w:p>
          <w:p w14:paraId="5E10AFC4" w14:textId="338206BC" w:rsidR="00912158" w:rsidRPr="00912158" w:rsidRDefault="00912158" w:rsidP="00D14965">
            <w:pPr>
              <w:pStyle w:val="NoSpacing"/>
              <w:rPr>
                <w:sz w:val="24"/>
                <w:szCs w:val="24"/>
              </w:rPr>
            </w:pPr>
            <w:r w:rsidRPr="00912158">
              <w:rPr>
                <w:color w:val="FF0000"/>
                <w:sz w:val="24"/>
                <w:szCs w:val="24"/>
              </w:rPr>
              <w:t xml:space="preserve">Surplus budget 05.03.21 is </w:t>
            </w:r>
            <w:r w:rsidRPr="00912158">
              <w:rPr>
                <w:rFonts w:ascii="Calibri" w:hAnsi="Calibri" w:cs="Calibri"/>
                <w:color w:val="FF0000"/>
                <w:sz w:val="24"/>
                <w:szCs w:val="24"/>
                <w:shd w:val="clear" w:color="auto" w:fill="FFFFFF"/>
              </w:rPr>
              <w:t>£</w:t>
            </w:r>
            <w:r w:rsidR="00D14965">
              <w:rPr>
                <w:rFonts w:ascii="Calibri" w:hAnsi="Calibri" w:cs="Calibri"/>
                <w:color w:val="FF0000"/>
                <w:sz w:val="24"/>
                <w:szCs w:val="24"/>
                <w:shd w:val="clear" w:color="auto" w:fill="FFFFFF"/>
              </w:rPr>
              <w:t>18,702</w:t>
            </w:r>
            <w:r w:rsidRPr="00912158">
              <w:rPr>
                <w:rFonts w:ascii="Calibri" w:hAnsi="Calibri" w:cs="Calibri"/>
                <w:color w:val="FF0000"/>
                <w:sz w:val="24"/>
                <w:szCs w:val="24"/>
                <w:shd w:val="clear" w:color="auto" w:fill="FFFFFF"/>
              </w:rPr>
              <w:t xml:space="preserve"> due to lockdown 3</w:t>
            </w:r>
            <w:r w:rsidR="00E91514">
              <w:rPr>
                <w:rFonts w:ascii="Calibri" w:hAnsi="Calibri" w:cs="Calibri"/>
                <w:color w:val="FF0000"/>
                <w:sz w:val="24"/>
                <w:szCs w:val="24"/>
                <w:shd w:val="clear" w:color="auto" w:fill="FFFFFF"/>
              </w:rPr>
              <w:t xml:space="preserve"> </w:t>
            </w:r>
          </w:p>
        </w:tc>
        <w:tc>
          <w:tcPr>
            <w:tcW w:w="2700" w:type="dxa"/>
          </w:tcPr>
          <w:p w14:paraId="799BE1E3" w14:textId="77777777" w:rsidR="00C9342E" w:rsidRPr="0035739A" w:rsidRDefault="0035739A" w:rsidP="00A47E9C">
            <w:pPr>
              <w:rPr>
                <w:rFonts w:ascii="Lucida Sans" w:hAnsi="Lucida Sans"/>
              </w:rPr>
            </w:pPr>
            <w:r w:rsidRPr="0035739A">
              <w:rPr>
                <w:rFonts w:ascii="Lucida Sans" w:hAnsi="Lucida Sans"/>
              </w:rPr>
              <w:t>Pupils selected by class teachers based on assessments outlined below.</w:t>
            </w:r>
          </w:p>
        </w:tc>
        <w:tc>
          <w:tcPr>
            <w:tcW w:w="7444" w:type="dxa"/>
          </w:tcPr>
          <w:p w14:paraId="628604F5" w14:textId="77777777" w:rsidR="009A1787" w:rsidRPr="00912158" w:rsidRDefault="0035739A" w:rsidP="00DE51F4">
            <w:pPr>
              <w:numPr>
                <w:ilvl w:val="0"/>
                <w:numId w:val="5"/>
              </w:numPr>
              <w:rPr>
                <w:rFonts w:asciiTheme="minorHAnsi" w:hAnsiTheme="minorHAnsi" w:cstheme="minorHAnsi"/>
                <w:sz w:val="24"/>
                <w:szCs w:val="24"/>
              </w:rPr>
            </w:pPr>
            <w:r w:rsidRPr="00912158">
              <w:rPr>
                <w:rFonts w:asciiTheme="minorHAnsi" w:hAnsiTheme="minorHAnsi" w:cstheme="minorHAnsi"/>
                <w:sz w:val="24"/>
                <w:szCs w:val="24"/>
              </w:rPr>
              <w:t>Targeted academic support</w:t>
            </w:r>
          </w:p>
          <w:p w14:paraId="3D6F7FE0" w14:textId="77777777" w:rsidR="0035739A" w:rsidRPr="00912158" w:rsidRDefault="0035739A" w:rsidP="00DE51F4">
            <w:pPr>
              <w:numPr>
                <w:ilvl w:val="0"/>
                <w:numId w:val="5"/>
              </w:numPr>
              <w:rPr>
                <w:rFonts w:asciiTheme="minorHAnsi" w:hAnsiTheme="minorHAnsi" w:cstheme="minorHAnsi"/>
                <w:sz w:val="24"/>
                <w:szCs w:val="24"/>
              </w:rPr>
            </w:pPr>
            <w:r w:rsidRPr="00912158">
              <w:rPr>
                <w:rFonts w:asciiTheme="minorHAnsi" w:hAnsiTheme="minorHAnsi" w:cstheme="minorHAnsi"/>
                <w:sz w:val="24"/>
                <w:szCs w:val="24"/>
              </w:rPr>
              <w:t>Focus on Quality First Teaching</w:t>
            </w:r>
          </w:p>
          <w:p w14:paraId="607ACE56" w14:textId="582D7B7B" w:rsidR="00912158" w:rsidRPr="00EA04AD" w:rsidRDefault="00912158" w:rsidP="00DE51F4">
            <w:pPr>
              <w:numPr>
                <w:ilvl w:val="0"/>
                <w:numId w:val="5"/>
              </w:numPr>
              <w:rPr>
                <w:rFonts w:ascii="Comic Sans MS" w:hAnsi="Comic Sans MS" w:cs="Lucida Sans Unicode"/>
              </w:rPr>
            </w:pPr>
            <w:r w:rsidRPr="00912158">
              <w:rPr>
                <w:rFonts w:asciiTheme="minorHAnsi" w:hAnsiTheme="minorHAnsi" w:cstheme="minorHAnsi"/>
                <w:color w:val="FF0000"/>
                <w:sz w:val="24"/>
                <w:szCs w:val="24"/>
              </w:rPr>
              <w:t>Technology to support Quality First Teaching</w:t>
            </w:r>
          </w:p>
        </w:tc>
      </w:tr>
    </w:tbl>
    <w:p w14:paraId="6A05A809" w14:textId="77777777" w:rsidR="008D239D" w:rsidRPr="00EA04AD" w:rsidRDefault="008D239D"/>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635"/>
        <w:gridCol w:w="1515"/>
        <w:gridCol w:w="1953"/>
        <w:gridCol w:w="1559"/>
        <w:gridCol w:w="1875"/>
        <w:gridCol w:w="2803"/>
      </w:tblGrid>
      <w:tr w:rsidR="00EA04AD" w:rsidRPr="00EA04AD" w14:paraId="3C35E3A6" w14:textId="77777777" w:rsidTr="0D4223EB">
        <w:tc>
          <w:tcPr>
            <w:tcW w:w="3794" w:type="dxa"/>
            <w:shd w:val="clear" w:color="auto" w:fill="4F81BD"/>
          </w:tcPr>
          <w:p w14:paraId="0DF616B9" w14:textId="77777777" w:rsidR="00EA04AD" w:rsidRPr="00EA04AD" w:rsidRDefault="00EA04AD" w:rsidP="00EA04AD">
            <w:pPr>
              <w:rPr>
                <w:b/>
              </w:rPr>
            </w:pPr>
            <w:r w:rsidRPr="00EA04AD">
              <w:rPr>
                <w:b/>
              </w:rPr>
              <w:t>Actions (including staff training needs)</w:t>
            </w:r>
          </w:p>
        </w:tc>
        <w:tc>
          <w:tcPr>
            <w:tcW w:w="1635" w:type="dxa"/>
            <w:shd w:val="clear" w:color="auto" w:fill="4F81BD"/>
          </w:tcPr>
          <w:p w14:paraId="12BA1E23" w14:textId="77777777" w:rsidR="00EA04AD" w:rsidRPr="00EA04AD" w:rsidRDefault="00EA04AD" w:rsidP="00EA04AD">
            <w:pPr>
              <w:pStyle w:val="Heading1"/>
            </w:pPr>
            <w:r w:rsidRPr="00EA04AD">
              <w:t>Personnel</w:t>
            </w:r>
          </w:p>
          <w:p w14:paraId="26638AA8" w14:textId="77777777" w:rsidR="00EA04AD" w:rsidRPr="00EA04AD" w:rsidRDefault="00EA04AD" w:rsidP="00EA04AD">
            <w:pPr>
              <w:rPr>
                <w:b/>
              </w:rPr>
            </w:pPr>
            <w:r w:rsidRPr="00EA04AD">
              <w:rPr>
                <w:b/>
              </w:rPr>
              <w:t>/ Role</w:t>
            </w:r>
          </w:p>
        </w:tc>
        <w:tc>
          <w:tcPr>
            <w:tcW w:w="1515" w:type="dxa"/>
            <w:shd w:val="clear" w:color="auto" w:fill="4F81BD"/>
          </w:tcPr>
          <w:p w14:paraId="4A146726" w14:textId="77777777" w:rsidR="00EA04AD" w:rsidRPr="00EA04AD" w:rsidRDefault="00EA04AD" w:rsidP="00EA04AD">
            <w:pPr>
              <w:rPr>
                <w:b/>
              </w:rPr>
            </w:pPr>
            <w:r w:rsidRPr="00EA04AD">
              <w:rPr>
                <w:b/>
              </w:rPr>
              <w:t>Time</w:t>
            </w:r>
          </w:p>
          <w:p w14:paraId="1001D074" w14:textId="77777777" w:rsidR="00EA04AD" w:rsidRPr="00EA04AD" w:rsidRDefault="00EA04AD" w:rsidP="00EA04AD">
            <w:pPr>
              <w:rPr>
                <w:b/>
              </w:rPr>
            </w:pPr>
            <w:r w:rsidRPr="00EA04AD">
              <w:rPr>
                <w:b/>
              </w:rPr>
              <w:t>Scale</w:t>
            </w:r>
          </w:p>
        </w:tc>
        <w:tc>
          <w:tcPr>
            <w:tcW w:w="1953" w:type="dxa"/>
            <w:shd w:val="clear" w:color="auto" w:fill="4F81BD"/>
          </w:tcPr>
          <w:p w14:paraId="7BA731DD" w14:textId="77777777" w:rsidR="00EA04AD" w:rsidRPr="00EA04AD" w:rsidRDefault="00EA04AD" w:rsidP="00EA04AD">
            <w:pPr>
              <w:pStyle w:val="Heading2"/>
              <w:jc w:val="left"/>
            </w:pPr>
            <w:r w:rsidRPr="00EA04AD">
              <w:t>Costs</w:t>
            </w:r>
          </w:p>
          <w:p w14:paraId="0A0F28DD" w14:textId="77777777" w:rsidR="00EA04AD" w:rsidRPr="00EA04AD" w:rsidRDefault="00EA04AD" w:rsidP="00EA04AD">
            <w:pPr>
              <w:jc w:val="center"/>
              <w:rPr>
                <w:b/>
              </w:rPr>
            </w:pPr>
            <w:r w:rsidRPr="00EA04AD">
              <w:rPr>
                <w:b/>
              </w:rPr>
              <w:t>£</w:t>
            </w:r>
          </w:p>
        </w:tc>
        <w:tc>
          <w:tcPr>
            <w:tcW w:w="1559" w:type="dxa"/>
            <w:shd w:val="clear" w:color="auto" w:fill="4F81BD"/>
          </w:tcPr>
          <w:p w14:paraId="44D46F09" w14:textId="77777777" w:rsidR="00EA04AD" w:rsidRPr="00EA04AD" w:rsidRDefault="00EA04AD" w:rsidP="00EA04AD">
            <w:pPr>
              <w:rPr>
                <w:b/>
              </w:rPr>
            </w:pPr>
            <w:r w:rsidRPr="00EA04AD">
              <w:rPr>
                <w:b/>
              </w:rPr>
              <w:t>Funding Source</w:t>
            </w:r>
          </w:p>
        </w:tc>
        <w:tc>
          <w:tcPr>
            <w:tcW w:w="1875" w:type="dxa"/>
            <w:shd w:val="clear" w:color="auto" w:fill="4F81BD"/>
          </w:tcPr>
          <w:p w14:paraId="77501887" w14:textId="77777777" w:rsidR="00EA04AD" w:rsidRPr="00EA04AD" w:rsidRDefault="00EA04AD" w:rsidP="00EA04AD">
            <w:pPr>
              <w:rPr>
                <w:b/>
              </w:rPr>
            </w:pPr>
            <w:r w:rsidRPr="00EA04AD">
              <w:rPr>
                <w:b/>
              </w:rPr>
              <w:t>Success Criteria/Intended Outcomes</w:t>
            </w:r>
          </w:p>
        </w:tc>
        <w:tc>
          <w:tcPr>
            <w:tcW w:w="2803" w:type="dxa"/>
            <w:shd w:val="clear" w:color="auto" w:fill="4F81BD"/>
          </w:tcPr>
          <w:p w14:paraId="58B288EA" w14:textId="77777777" w:rsidR="00EA04AD" w:rsidRPr="00EA04AD" w:rsidRDefault="00EA04AD" w:rsidP="00EA04AD">
            <w:pPr>
              <w:rPr>
                <w:b/>
              </w:rPr>
            </w:pPr>
            <w:r w:rsidRPr="00EA04AD">
              <w:rPr>
                <w:b/>
              </w:rPr>
              <w:t>Progress</w:t>
            </w:r>
          </w:p>
        </w:tc>
      </w:tr>
      <w:tr w:rsidR="00611DB7" w:rsidRPr="00EA04AD" w14:paraId="17ACCAB8" w14:textId="77777777" w:rsidTr="0D4223EB">
        <w:tc>
          <w:tcPr>
            <w:tcW w:w="15134" w:type="dxa"/>
            <w:gridSpan w:val="7"/>
          </w:tcPr>
          <w:p w14:paraId="7979C6EA" w14:textId="77777777" w:rsidR="00611DB7" w:rsidRPr="00EA04AD" w:rsidRDefault="00611DB7" w:rsidP="00CE5359">
            <w:pPr>
              <w:shd w:val="clear" w:color="auto" w:fill="FFFFFF"/>
            </w:pPr>
            <w:r w:rsidRPr="00611DB7">
              <w:rPr>
                <w:b/>
                <w:sz w:val="24"/>
                <w:szCs w:val="24"/>
              </w:rPr>
              <w:t>Targeted Academic Support</w:t>
            </w:r>
          </w:p>
        </w:tc>
      </w:tr>
      <w:tr w:rsidR="17B6C6A9" w14:paraId="121E8CC7" w14:textId="77777777" w:rsidTr="0D4223EB">
        <w:tc>
          <w:tcPr>
            <w:tcW w:w="3794" w:type="dxa"/>
          </w:tcPr>
          <w:p w14:paraId="56CE87E4" w14:textId="33578BE0" w:rsidR="140085E0" w:rsidRPr="007946DB" w:rsidRDefault="140085E0" w:rsidP="17B6C6A9">
            <w:pPr>
              <w:rPr>
                <w:highlight w:val="green"/>
              </w:rPr>
            </w:pPr>
            <w:r w:rsidRPr="007946DB">
              <w:rPr>
                <w:highlight w:val="green"/>
              </w:rPr>
              <w:t>Baseline assessments take place during the first half of the Autumn Term to establish levels of attainment of all children</w:t>
            </w:r>
            <w:r w:rsidR="0362336C" w:rsidRPr="007946DB">
              <w:rPr>
                <w:highlight w:val="green"/>
              </w:rPr>
              <w:t>.</w:t>
            </w:r>
            <w:r w:rsidR="60A76F02" w:rsidRPr="007946DB">
              <w:rPr>
                <w:highlight w:val="green"/>
              </w:rPr>
              <w:t xml:space="preserve">  From this, vulnerable children who have had their learning disrupted </w:t>
            </w:r>
            <w:proofErr w:type="gramStart"/>
            <w:r w:rsidR="60A76F02" w:rsidRPr="007946DB">
              <w:rPr>
                <w:highlight w:val="green"/>
              </w:rPr>
              <w:t>are identified</w:t>
            </w:r>
            <w:proofErr w:type="gramEnd"/>
            <w:r w:rsidR="60A76F02" w:rsidRPr="007946DB">
              <w:rPr>
                <w:highlight w:val="green"/>
              </w:rPr>
              <w:t xml:space="preserve"> for additional support.</w:t>
            </w:r>
            <w:r w:rsidR="008805A4" w:rsidRPr="007946DB">
              <w:rPr>
                <w:highlight w:val="green"/>
              </w:rPr>
              <w:t xml:space="preserve"> Assessment leader to </w:t>
            </w:r>
            <w:proofErr w:type="gramStart"/>
            <w:r w:rsidR="008805A4" w:rsidRPr="007946DB">
              <w:rPr>
                <w:highlight w:val="green"/>
              </w:rPr>
              <w:t>be given</w:t>
            </w:r>
            <w:proofErr w:type="gramEnd"/>
            <w:r w:rsidR="008805A4" w:rsidRPr="007946DB">
              <w:rPr>
                <w:highlight w:val="green"/>
              </w:rPr>
              <w:t xml:space="preserve"> release.</w:t>
            </w:r>
          </w:p>
        </w:tc>
        <w:tc>
          <w:tcPr>
            <w:tcW w:w="1635" w:type="dxa"/>
          </w:tcPr>
          <w:p w14:paraId="51D616D9" w14:textId="4BC7B6C2" w:rsidR="0362336C" w:rsidRPr="007946DB" w:rsidRDefault="0362336C" w:rsidP="17B6C6A9">
            <w:pPr>
              <w:rPr>
                <w:highlight w:val="green"/>
              </w:rPr>
            </w:pPr>
            <w:r w:rsidRPr="007946DB">
              <w:rPr>
                <w:highlight w:val="green"/>
              </w:rPr>
              <w:t>RD</w:t>
            </w:r>
          </w:p>
          <w:p w14:paraId="3C1836A8" w14:textId="06659B18" w:rsidR="0362336C" w:rsidRPr="007946DB" w:rsidRDefault="0362336C" w:rsidP="17B6C6A9">
            <w:pPr>
              <w:rPr>
                <w:highlight w:val="green"/>
              </w:rPr>
            </w:pPr>
            <w:r w:rsidRPr="007946DB">
              <w:rPr>
                <w:highlight w:val="green"/>
              </w:rPr>
              <w:t>Teachers</w:t>
            </w:r>
          </w:p>
        </w:tc>
        <w:tc>
          <w:tcPr>
            <w:tcW w:w="1515" w:type="dxa"/>
          </w:tcPr>
          <w:p w14:paraId="1077C948" w14:textId="0C0FA602" w:rsidR="0362336C" w:rsidRPr="007946DB" w:rsidRDefault="0362336C" w:rsidP="17B6C6A9">
            <w:pPr>
              <w:rPr>
                <w:highlight w:val="green"/>
              </w:rPr>
            </w:pPr>
            <w:r w:rsidRPr="007946DB">
              <w:rPr>
                <w:highlight w:val="green"/>
              </w:rPr>
              <w:t>Autumn 1</w:t>
            </w:r>
          </w:p>
        </w:tc>
        <w:tc>
          <w:tcPr>
            <w:tcW w:w="1953" w:type="dxa"/>
          </w:tcPr>
          <w:p w14:paraId="635711DE" w14:textId="52DBC9B3" w:rsidR="0362336C" w:rsidRPr="007946DB" w:rsidRDefault="00A76C03" w:rsidP="17B6C6A9">
            <w:pPr>
              <w:rPr>
                <w:highlight w:val="green"/>
              </w:rPr>
            </w:pPr>
            <w:r w:rsidRPr="007946DB">
              <w:rPr>
                <w:highlight w:val="green"/>
              </w:rPr>
              <w:t>4</w:t>
            </w:r>
            <w:r w:rsidR="008805A4" w:rsidRPr="007946DB">
              <w:rPr>
                <w:highlight w:val="green"/>
              </w:rPr>
              <w:t xml:space="preserve"> x supply days</w:t>
            </w:r>
            <w:r w:rsidR="00E80C24" w:rsidRPr="007946DB">
              <w:rPr>
                <w:highlight w:val="green"/>
              </w:rPr>
              <w:t xml:space="preserve"> for assessment leader to track key pupils’ attainment and work with staff on AFL strategies</w:t>
            </w:r>
          </w:p>
          <w:p w14:paraId="54D5AB0C" w14:textId="240FCF17" w:rsidR="00A76C03" w:rsidRPr="007946DB" w:rsidRDefault="00A76C03" w:rsidP="17B6C6A9">
            <w:pPr>
              <w:rPr>
                <w:highlight w:val="green"/>
              </w:rPr>
            </w:pPr>
          </w:p>
          <w:p w14:paraId="0BCCCC2F" w14:textId="2F6B60B7" w:rsidR="008805A4" w:rsidRPr="007946DB" w:rsidRDefault="007946DB" w:rsidP="17B6C6A9">
            <w:pPr>
              <w:rPr>
                <w:highlight w:val="green"/>
              </w:rPr>
            </w:pPr>
            <w:r w:rsidRPr="007946DB">
              <w:rPr>
                <w:highlight w:val="green"/>
              </w:rPr>
              <w:t>£300</w:t>
            </w:r>
          </w:p>
        </w:tc>
        <w:tc>
          <w:tcPr>
            <w:tcW w:w="1559" w:type="dxa"/>
          </w:tcPr>
          <w:p w14:paraId="53B015BE" w14:textId="48C2B3A0" w:rsidR="0362336C" w:rsidRPr="007946DB" w:rsidRDefault="00A76C03" w:rsidP="17B6C6A9">
            <w:pPr>
              <w:rPr>
                <w:highlight w:val="green"/>
              </w:rPr>
            </w:pPr>
            <w:r w:rsidRPr="007946DB">
              <w:rPr>
                <w:highlight w:val="green"/>
              </w:rPr>
              <w:t>Closing the Gap</w:t>
            </w:r>
          </w:p>
        </w:tc>
        <w:tc>
          <w:tcPr>
            <w:tcW w:w="1875" w:type="dxa"/>
            <w:shd w:val="clear" w:color="auto" w:fill="auto"/>
          </w:tcPr>
          <w:p w14:paraId="2A4005CA" w14:textId="174FECE7" w:rsidR="0362336C" w:rsidRPr="007946DB" w:rsidRDefault="0362336C" w:rsidP="17B6C6A9">
            <w:pPr>
              <w:rPr>
                <w:highlight w:val="green"/>
              </w:rPr>
            </w:pPr>
            <w:r w:rsidRPr="007946DB">
              <w:rPr>
                <w:highlight w:val="green"/>
              </w:rPr>
              <w:t xml:space="preserve">All children </w:t>
            </w:r>
            <w:proofErr w:type="gramStart"/>
            <w:r w:rsidRPr="007946DB">
              <w:rPr>
                <w:highlight w:val="green"/>
              </w:rPr>
              <w:t>are given</w:t>
            </w:r>
            <w:proofErr w:type="gramEnd"/>
            <w:r w:rsidRPr="007946DB">
              <w:rPr>
                <w:highlight w:val="green"/>
              </w:rPr>
              <w:t xml:space="preserve"> baseline assessments through teacher assessment and those whose learning has been disrupted due to lockdown and isolation are identified for support.</w:t>
            </w:r>
          </w:p>
        </w:tc>
        <w:tc>
          <w:tcPr>
            <w:tcW w:w="2803" w:type="dxa"/>
            <w:shd w:val="clear" w:color="auto" w:fill="auto"/>
          </w:tcPr>
          <w:p w14:paraId="280EA698" w14:textId="0A7C33CE" w:rsidR="58D22964" w:rsidRPr="007946DB" w:rsidRDefault="58D22964" w:rsidP="17B6C6A9">
            <w:pPr>
              <w:pStyle w:val="ListParagraph"/>
              <w:numPr>
                <w:ilvl w:val="0"/>
                <w:numId w:val="1"/>
              </w:numPr>
              <w:rPr>
                <w:rFonts w:eastAsia="Lucida Sans Unicode" w:cs="Lucida Sans Unicode"/>
                <w:highlight w:val="green"/>
              </w:rPr>
            </w:pPr>
            <w:r w:rsidRPr="007946DB">
              <w:rPr>
                <w:highlight w:val="green"/>
              </w:rPr>
              <w:t xml:space="preserve">RD and Teachers have given baseline assessments of </w:t>
            </w:r>
            <w:r w:rsidR="009213BD" w:rsidRPr="007946DB">
              <w:rPr>
                <w:highlight w:val="green"/>
              </w:rPr>
              <w:t>children</w:t>
            </w:r>
            <w:r w:rsidRPr="007946DB">
              <w:rPr>
                <w:highlight w:val="green"/>
              </w:rPr>
              <w:t xml:space="preserve"> – children </w:t>
            </w:r>
            <w:proofErr w:type="gramStart"/>
            <w:r w:rsidRPr="007946DB">
              <w:rPr>
                <w:highlight w:val="green"/>
              </w:rPr>
              <w:t>have been identified</w:t>
            </w:r>
            <w:proofErr w:type="gramEnd"/>
            <w:r w:rsidRPr="007946DB">
              <w:rPr>
                <w:highlight w:val="green"/>
              </w:rPr>
              <w:t xml:space="preserve"> who need support. - Completed </w:t>
            </w:r>
            <w:proofErr w:type="gramStart"/>
            <w:r w:rsidR="027BD254" w:rsidRPr="007946DB">
              <w:rPr>
                <w:highlight w:val="green"/>
              </w:rPr>
              <w:t>A</w:t>
            </w:r>
            <w:r w:rsidRPr="007946DB">
              <w:rPr>
                <w:highlight w:val="green"/>
              </w:rPr>
              <w:t xml:space="preserve">utumn </w:t>
            </w:r>
            <w:r w:rsidR="75B4BB28" w:rsidRPr="007946DB">
              <w:rPr>
                <w:highlight w:val="green"/>
              </w:rPr>
              <w:t>.</w:t>
            </w:r>
            <w:proofErr w:type="gramEnd"/>
          </w:p>
        </w:tc>
      </w:tr>
      <w:tr w:rsidR="00A47E9C" w:rsidRPr="00EA04AD" w14:paraId="7280557A" w14:textId="77777777" w:rsidTr="0D4223EB">
        <w:tc>
          <w:tcPr>
            <w:tcW w:w="3794" w:type="dxa"/>
          </w:tcPr>
          <w:p w14:paraId="05566E89" w14:textId="2AB32458" w:rsidR="00A47E9C" w:rsidRPr="00804A4E" w:rsidRDefault="00DE51F4" w:rsidP="00B8551B">
            <w:pPr>
              <w:shd w:val="clear" w:color="auto" w:fill="FFFFFF"/>
              <w:rPr>
                <w:highlight w:val="green"/>
              </w:rPr>
            </w:pPr>
            <w:r w:rsidRPr="00804A4E">
              <w:rPr>
                <w:highlight w:val="green"/>
              </w:rPr>
              <w:lastRenderedPageBreak/>
              <w:t>Cognitive and Metacognition Strategies – training required for new staff members</w:t>
            </w:r>
          </w:p>
          <w:p w14:paraId="1D40F7C0" w14:textId="77777777" w:rsidR="00F71F8B" w:rsidRPr="00804A4E" w:rsidRDefault="00F71F8B" w:rsidP="00B8551B">
            <w:pPr>
              <w:shd w:val="clear" w:color="auto" w:fill="FFFFFF"/>
              <w:rPr>
                <w:highlight w:val="green"/>
              </w:rPr>
            </w:pPr>
            <w:r w:rsidRPr="00804A4E">
              <w:rPr>
                <w:highlight w:val="green"/>
              </w:rPr>
              <w:t>Shirley Clark Feedback</w:t>
            </w:r>
          </w:p>
        </w:tc>
        <w:tc>
          <w:tcPr>
            <w:tcW w:w="1635" w:type="dxa"/>
          </w:tcPr>
          <w:p w14:paraId="55845BAA" w14:textId="77777777" w:rsidR="00A47E9C" w:rsidRPr="00804A4E" w:rsidRDefault="00DE51F4" w:rsidP="00A47E9C">
            <w:pPr>
              <w:shd w:val="clear" w:color="auto" w:fill="FFFFFF"/>
              <w:rPr>
                <w:highlight w:val="green"/>
              </w:rPr>
            </w:pPr>
            <w:r w:rsidRPr="00804A4E">
              <w:rPr>
                <w:highlight w:val="green"/>
              </w:rPr>
              <w:t>Staff new to school from September 2020</w:t>
            </w:r>
            <w:r w:rsidR="00F71F8B" w:rsidRPr="00804A4E">
              <w:rPr>
                <w:highlight w:val="green"/>
              </w:rPr>
              <w:t xml:space="preserve"> – SH</w:t>
            </w:r>
          </w:p>
          <w:p w14:paraId="5A39BBE3" w14:textId="77777777" w:rsidR="00F71F8B" w:rsidRPr="00804A4E" w:rsidRDefault="00F71F8B" w:rsidP="00A47E9C">
            <w:pPr>
              <w:shd w:val="clear" w:color="auto" w:fill="FFFFFF"/>
              <w:rPr>
                <w:highlight w:val="green"/>
              </w:rPr>
            </w:pPr>
          </w:p>
          <w:p w14:paraId="04E93B0C" w14:textId="77777777" w:rsidR="00F71F8B" w:rsidRPr="00804A4E" w:rsidRDefault="00F71F8B" w:rsidP="00A47E9C">
            <w:pPr>
              <w:shd w:val="clear" w:color="auto" w:fill="FFFFFF"/>
              <w:rPr>
                <w:highlight w:val="green"/>
              </w:rPr>
            </w:pPr>
            <w:r w:rsidRPr="00804A4E">
              <w:rPr>
                <w:highlight w:val="green"/>
              </w:rPr>
              <w:t>RD</w:t>
            </w:r>
          </w:p>
        </w:tc>
        <w:tc>
          <w:tcPr>
            <w:tcW w:w="1515" w:type="dxa"/>
          </w:tcPr>
          <w:p w14:paraId="26DE8649" w14:textId="77777777" w:rsidR="00A47E9C" w:rsidRPr="00804A4E" w:rsidRDefault="00DE51F4" w:rsidP="00EA04AD">
            <w:pPr>
              <w:shd w:val="clear" w:color="auto" w:fill="FFFFFF"/>
              <w:rPr>
                <w:highlight w:val="green"/>
              </w:rPr>
            </w:pPr>
            <w:r w:rsidRPr="00804A4E">
              <w:rPr>
                <w:highlight w:val="green"/>
              </w:rPr>
              <w:t>ASAP</w:t>
            </w:r>
          </w:p>
        </w:tc>
        <w:tc>
          <w:tcPr>
            <w:tcW w:w="1953" w:type="dxa"/>
          </w:tcPr>
          <w:p w14:paraId="648B1AD6" w14:textId="77777777" w:rsidR="00E80C24" w:rsidRDefault="00A76C03" w:rsidP="00630BCB">
            <w:pPr>
              <w:shd w:val="clear" w:color="auto" w:fill="FFFFFF"/>
              <w:rPr>
                <w:highlight w:val="green"/>
              </w:rPr>
            </w:pPr>
            <w:r>
              <w:rPr>
                <w:highlight w:val="green"/>
              </w:rPr>
              <w:t>£0</w:t>
            </w:r>
          </w:p>
          <w:p w14:paraId="2EB46F52" w14:textId="77777777" w:rsidR="007946DB" w:rsidRDefault="007946DB" w:rsidP="00630BCB">
            <w:pPr>
              <w:shd w:val="clear" w:color="auto" w:fill="FFFFFF"/>
              <w:rPr>
                <w:highlight w:val="green"/>
              </w:rPr>
            </w:pPr>
          </w:p>
          <w:p w14:paraId="0AD173BB" w14:textId="4FD24FF5" w:rsidR="007946DB" w:rsidRPr="00804A4E" w:rsidRDefault="007946DB" w:rsidP="00630BCB">
            <w:pPr>
              <w:shd w:val="clear" w:color="auto" w:fill="FFFFFF"/>
              <w:rPr>
                <w:highlight w:val="green"/>
              </w:rPr>
            </w:pPr>
            <w:r>
              <w:rPr>
                <w:highlight w:val="green"/>
              </w:rPr>
              <w:t>Completed as part of CPD</w:t>
            </w:r>
          </w:p>
        </w:tc>
        <w:tc>
          <w:tcPr>
            <w:tcW w:w="1559" w:type="dxa"/>
          </w:tcPr>
          <w:p w14:paraId="629D792A" w14:textId="77777777" w:rsidR="00A47E9C" w:rsidRPr="00804A4E" w:rsidRDefault="00DE51F4" w:rsidP="00EA04AD">
            <w:pPr>
              <w:shd w:val="clear" w:color="auto" w:fill="FFFFFF"/>
              <w:rPr>
                <w:highlight w:val="green"/>
              </w:rPr>
            </w:pPr>
            <w:r w:rsidRPr="00804A4E">
              <w:rPr>
                <w:highlight w:val="green"/>
              </w:rPr>
              <w:t>N/A</w:t>
            </w:r>
          </w:p>
        </w:tc>
        <w:tc>
          <w:tcPr>
            <w:tcW w:w="1875" w:type="dxa"/>
            <w:shd w:val="clear" w:color="auto" w:fill="auto"/>
          </w:tcPr>
          <w:p w14:paraId="46D97D30" w14:textId="77777777" w:rsidR="00A47E9C" w:rsidRPr="00804A4E" w:rsidRDefault="00DE51F4" w:rsidP="00C2541D">
            <w:pPr>
              <w:shd w:val="clear" w:color="auto" w:fill="FFFFFF"/>
              <w:rPr>
                <w:highlight w:val="green"/>
              </w:rPr>
            </w:pPr>
            <w:r w:rsidRPr="00804A4E">
              <w:rPr>
                <w:highlight w:val="green"/>
              </w:rPr>
              <w:t xml:space="preserve">Metacognition strategies </w:t>
            </w:r>
            <w:proofErr w:type="gramStart"/>
            <w:r w:rsidRPr="00804A4E">
              <w:rPr>
                <w:highlight w:val="green"/>
              </w:rPr>
              <w:t>will be employed</w:t>
            </w:r>
            <w:proofErr w:type="gramEnd"/>
            <w:r w:rsidRPr="00804A4E">
              <w:rPr>
                <w:highlight w:val="green"/>
              </w:rPr>
              <w:t xml:space="preserve"> in all classes, </w:t>
            </w:r>
            <w:r w:rsidR="00611DB7" w:rsidRPr="00804A4E">
              <w:rPr>
                <w:highlight w:val="green"/>
              </w:rPr>
              <w:t>influencing</w:t>
            </w:r>
            <w:r w:rsidRPr="00804A4E">
              <w:rPr>
                <w:highlight w:val="green"/>
              </w:rPr>
              <w:t xml:space="preserve"> pupils’ resilience and independent thinking skills.</w:t>
            </w:r>
          </w:p>
        </w:tc>
        <w:tc>
          <w:tcPr>
            <w:tcW w:w="2803" w:type="dxa"/>
            <w:shd w:val="clear" w:color="auto" w:fill="auto"/>
          </w:tcPr>
          <w:p w14:paraId="41C8F396" w14:textId="1F65B4E9" w:rsidR="00A47E9C" w:rsidRPr="00804A4E" w:rsidRDefault="6C6C73A1" w:rsidP="17B6C6A9">
            <w:pPr>
              <w:shd w:val="clear" w:color="auto" w:fill="FFFFFF" w:themeFill="background1"/>
              <w:rPr>
                <w:highlight w:val="green"/>
              </w:rPr>
            </w:pPr>
            <w:r w:rsidRPr="00804A4E">
              <w:rPr>
                <w:highlight w:val="green"/>
              </w:rPr>
              <w:t>RD – completed Shirley Clark training for all teachers and TA’s. Autumn 1 2020</w:t>
            </w:r>
          </w:p>
        </w:tc>
      </w:tr>
      <w:tr w:rsidR="00462F32" w:rsidRPr="00EA04AD" w14:paraId="5E626064" w14:textId="77777777" w:rsidTr="0D4223EB">
        <w:tc>
          <w:tcPr>
            <w:tcW w:w="3794" w:type="dxa"/>
          </w:tcPr>
          <w:p w14:paraId="3E42A945" w14:textId="38C4A841" w:rsidR="00462F32" w:rsidRDefault="00462F32" w:rsidP="00462F32">
            <w:pPr>
              <w:shd w:val="clear" w:color="auto" w:fill="FFFFFF"/>
            </w:pPr>
            <w:r>
              <w:t>Supply cover for additional TA’s and teachers to ensure teaching and learning for this group of children is consistent during times of staff absences due to Covid-19.</w:t>
            </w:r>
          </w:p>
          <w:p w14:paraId="2F41BE92" w14:textId="1E99AA41" w:rsidR="00462F32" w:rsidRPr="005C4289" w:rsidRDefault="00462F32" w:rsidP="00462F32">
            <w:pPr>
              <w:shd w:val="clear" w:color="auto" w:fill="FFFFFF"/>
            </w:pPr>
            <w:proofErr w:type="gramStart"/>
            <w:r>
              <w:t>Also</w:t>
            </w:r>
            <w:proofErr w:type="gramEnd"/>
            <w:r>
              <w:t xml:space="preserve"> to allow b</w:t>
            </w:r>
            <w:r w:rsidRPr="005C4289">
              <w:t xml:space="preserve">oosting of children </w:t>
            </w:r>
            <w:r>
              <w:t>to happen</w:t>
            </w:r>
            <w:r w:rsidRPr="005C4289">
              <w:t xml:space="preserve"> using quality intervention programmes for improving speech and language and improving vocabulary</w:t>
            </w:r>
            <w:r>
              <w:t>.</w:t>
            </w:r>
          </w:p>
          <w:p w14:paraId="0E27B00A" w14:textId="77777777" w:rsidR="00462F32" w:rsidRPr="00385AE6" w:rsidRDefault="00462F32" w:rsidP="00462F32">
            <w:pPr>
              <w:shd w:val="clear" w:color="auto" w:fill="FFFFFF"/>
              <w:rPr>
                <w:u w:val="single"/>
              </w:rPr>
            </w:pPr>
          </w:p>
        </w:tc>
        <w:tc>
          <w:tcPr>
            <w:tcW w:w="1635" w:type="dxa"/>
          </w:tcPr>
          <w:p w14:paraId="047A8CEB" w14:textId="0AF66445" w:rsidR="00462F32" w:rsidRPr="00385AE6" w:rsidRDefault="00462F32" w:rsidP="00462F32">
            <w:pPr>
              <w:shd w:val="clear" w:color="auto" w:fill="FFFFFF" w:themeFill="background1"/>
            </w:pPr>
            <w:r w:rsidRPr="00385AE6">
              <w:t>Dep Head SS to line manage</w:t>
            </w:r>
          </w:p>
          <w:p w14:paraId="29716D61" w14:textId="7F7DF28F" w:rsidR="00462F32" w:rsidRPr="00385AE6" w:rsidRDefault="00462F32" w:rsidP="00462F32">
            <w:pPr>
              <w:shd w:val="clear" w:color="auto" w:fill="FFFFFF" w:themeFill="background1"/>
            </w:pPr>
          </w:p>
          <w:p w14:paraId="1DCF4D5D" w14:textId="2CE3E830" w:rsidR="00462F32" w:rsidRDefault="00462F32" w:rsidP="00462F32">
            <w:pPr>
              <w:shd w:val="clear" w:color="auto" w:fill="FFFFFF" w:themeFill="background1"/>
            </w:pPr>
            <w:r w:rsidRPr="00385AE6">
              <w:t>Teachers to direc</w:t>
            </w:r>
            <w:r>
              <w:t>t additional and allocated TA’s.</w:t>
            </w:r>
          </w:p>
          <w:p w14:paraId="3E4F4484" w14:textId="6558A4E7" w:rsidR="00462F32" w:rsidRPr="00385AE6" w:rsidRDefault="00462F32" w:rsidP="00462F32">
            <w:pPr>
              <w:shd w:val="clear" w:color="auto" w:fill="FFFFFF" w:themeFill="background1"/>
            </w:pPr>
            <w:r>
              <w:t>Supply teachers to take class responsibility in the absence of any teachers who need to isolate.</w:t>
            </w:r>
          </w:p>
          <w:p w14:paraId="60061E4C" w14:textId="77777777" w:rsidR="00462F32" w:rsidRPr="00385AE6" w:rsidRDefault="00462F32" w:rsidP="00462F32">
            <w:pPr>
              <w:shd w:val="clear" w:color="auto" w:fill="FFFFFF"/>
            </w:pPr>
          </w:p>
        </w:tc>
        <w:tc>
          <w:tcPr>
            <w:tcW w:w="1515" w:type="dxa"/>
          </w:tcPr>
          <w:p w14:paraId="409C3DFE" w14:textId="5855CF45" w:rsidR="00462F32" w:rsidRPr="00385AE6" w:rsidRDefault="00462F32" w:rsidP="00462F32">
            <w:pPr>
              <w:shd w:val="clear" w:color="auto" w:fill="FFFFFF"/>
            </w:pPr>
            <w:r>
              <w:t>Summer</w:t>
            </w:r>
            <w:r w:rsidRPr="00385AE6">
              <w:t xml:space="preserve"> term 2021</w:t>
            </w:r>
            <w:r>
              <w:t xml:space="preserve"> </w:t>
            </w:r>
          </w:p>
          <w:p w14:paraId="7DABEECC" w14:textId="77777777" w:rsidR="00462F32" w:rsidRPr="00385AE6" w:rsidRDefault="00462F32" w:rsidP="00462F32">
            <w:pPr>
              <w:shd w:val="clear" w:color="auto" w:fill="FFFFFF"/>
            </w:pPr>
          </w:p>
          <w:p w14:paraId="288EBA36" w14:textId="2BA7782E" w:rsidR="00462F32" w:rsidRPr="00385AE6" w:rsidRDefault="00462F32" w:rsidP="00462F32">
            <w:pPr>
              <w:shd w:val="clear" w:color="auto" w:fill="FFFFFF"/>
            </w:pPr>
          </w:p>
        </w:tc>
        <w:tc>
          <w:tcPr>
            <w:tcW w:w="1953" w:type="dxa"/>
          </w:tcPr>
          <w:p w14:paraId="573F2511" w14:textId="6553B0A1" w:rsidR="00462F32" w:rsidRPr="00385AE6" w:rsidRDefault="00462F32" w:rsidP="00462F32">
            <w:pPr>
              <w:shd w:val="clear" w:color="auto" w:fill="FFFFFF"/>
            </w:pPr>
            <w:r w:rsidRPr="00385AE6">
              <w:t>Additional TA hours</w:t>
            </w:r>
          </w:p>
          <w:p w14:paraId="2CF09586" w14:textId="4C08F2D3" w:rsidR="00462F32" w:rsidRPr="00385AE6" w:rsidRDefault="00462F32" w:rsidP="00462F32">
            <w:r>
              <w:t>£4,400 for 11 weeks</w:t>
            </w:r>
          </w:p>
          <w:p w14:paraId="7F22D9EA" w14:textId="77777777" w:rsidR="00462F32" w:rsidRPr="00385AE6" w:rsidRDefault="00462F32" w:rsidP="00462F32"/>
          <w:p w14:paraId="6DD70A82" w14:textId="77777777" w:rsidR="00462F32" w:rsidRPr="00385AE6" w:rsidRDefault="00462F32" w:rsidP="00462F32"/>
          <w:p w14:paraId="41EB0309" w14:textId="77777777" w:rsidR="00462F32" w:rsidRPr="00385AE6" w:rsidRDefault="00462F32" w:rsidP="00462F32"/>
          <w:p w14:paraId="77E19E2B" w14:textId="54B43DEF" w:rsidR="00462F32" w:rsidRPr="00385AE6" w:rsidRDefault="00462F32" w:rsidP="00462F32"/>
        </w:tc>
        <w:tc>
          <w:tcPr>
            <w:tcW w:w="1559" w:type="dxa"/>
          </w:tcPr>
          <w:p w14:paraId="27037A57" w14:textId="77777777" w:rsidR="00462F32" w:rsidRPr="00385AE6" w:rsidRDefault="00462F32" w:rsidP="00462F32">
            <w:pPr>
              <w:shd w:val="clear" w:color="auto" w:fill="FFFFFF"/>
            </w:pPr>
            <w:r w:rsidRPr="00385AE6">
              <w:t>Catch up funding</w:t>
            </w:r>
          </w:p>
        </w:tc>
        <w:tc>
          <w:tcPr>
            <w:tcW w:w="1875" w:type="dxa"/>
            <w:shd w:val="clear" w:color="auto" w:fill="auto"/>
          </w:tcPr>
          <w:p w14:paraId="4915447E" w14:textId="77777777" w:rsidR="00462F32" w:rsidRDefault="00462F32" w:rsidP="00462F32">
            <w:pPr>
              <w:shd w:val="clear" w:color="auto" w:fill="FFFFFF"/>
            </w:pPr>
            <w:r>
              <w:t xml:space="preserve">Quality interventions </w:t>
            </w:r>
            <w:proofErr w:type="gramStart"/>
            <w:r>
              <w:t>are purchased</w:t>
            </w:r>
            <w:proofErr w:type="gramEnd"/>
            <w:r>
              <w:t xml:space="preserve"> – these are monitored for effectiveness on an ongoing basis.</w:t>
            </w:r>
          </w:p>
          <w:p w14:paraId="4404C230" w14:textId="528BB905" w:rsidR="00462F32" w:rsidRPr="00385AE6" w:rsidRDefault="00462F32" w:rsidP="00462F32">
            <w:pPr>
              <w:shd w:val="clear" w:color="auto" w:fill="FFFFFF"/>
            </w:pPr>
            <w:r>
              <w:t xml:space="preserve">Standards raised for disadvantaged children </w:t>
            </w:r>
            <w:r>
              <w:t>that</w:t>
            </w:r>
            <w:r>
              <w:t xml:space="preserve"> is measured by </w:t>
            </w:r>
            <w:proofErr w:type="spellStart"/>
            <w:r>
              <w:t>Pivats</w:t>
            </w:r>
            <w:proofErr w:type="spellEnd"/>
            <w:r>
              <w:t xml:space="preserve"> or teacher assessment and end of year tests.</w:t>
            </w:r>
          </w:p>
        </w:tc>
        <w:tc>
          <w:tcPr>
            <w:tcW w:w="2803" w:type="dxa"/>
            <w:shd w:val="clear" w:color="auto" w:fill="auto"/>
          </w:tcPr>
          <w:p w14:paraId="4F05955C" w14:textId="429F9FAF" w:rsidR="00462F32" w:rsidRPr="00912158" w:rsidRDefault="00462F32" w:rsidP="00462F32">
            <w:pPr>
              <w:shd w:val="clear" w:color="auto" w:fill="FFFFFF" w:themeFill="background1"/>
            </w:pPr>
            <w:r>
              <w:t xml:space="preserve">Funding placed into the supply budget to ensure cover </w:t>
            </w:r>
            <w:proofErr w:type="gramStart"/>
            <w:r>
              <w:t>is put</w:t>
            </w:r>
            <w:proofErr w:type="gramEnd"/>
            <w:r>
              <w:t xml:space="preserve"> in place as required.</w:t>
            </w:r>
          </w:p>
          <w:p w14:paraId="44EAFD9C" w14:textId="186710BA" w:rsidR="00462F32" w:rsidRPr="00912158" w:rsidRDefault="00462F32" w:rsidP="00462F32">
            <w:pPr>
              <w:shd w:val="clear" w:color="auto" w:fill="FFFFFF" w:themeFill="background1"/>
              <w:rPr>
                <w:highlight w:val="red"/>
              </w:rPr>
            </w:pPr>
          </w:p>
        </w:tc>
      </w:tr>
      <w:tr w:rsidR="007946DB" w:rsidRPr="00EA04AD" w14:paraId="7ED751A7" w14:textId="77777777" w:rsidTr="0D4223EB">
        <w:tc>
          <w:tcPr>
            <w:tcW w:w="3794" w:type="dxa"/>
          </w:tcPr>
          <w:p w14:paraId="0F7FCF51" w14:textId="0C4795CD" w:rsidR="007946DB" w:rsidRDefault="007946DB" w:rsidP="007946DB">
            <w:pPr>
              <w:shd w:val="clear" w:color="auto" w:fill="FFFFFF"/>
            </w:pPr>
            <w:r>
              <w:t xml:space="preserve">Children return to school and teachers take time to settle them in and assess their learning gaps.  This takes place before Easter and identifies those children who have been most disadvantaged during the </w:t>
            </w:r>
            <w:r>
              <w:lastRenderedPageBreak/>
              <w:t xml:space="preserve">lockdown period. Children </w:t>
            </w:r>
            <w:proofErr w:type="gramStart"/>
            <w:r>
              <w:t>are identified</w:t>
            </w:r>
            <w:proofErr w:type="gramEnd"/>
            <w:r>
              <w:t xml:space="preserve"> as focus children for closing the gap.</w:t>
            </w:r>
          </w:p>
          <w:p w14:paraId="1F029BE8" w14:textId="2170605F" w:rsidR="007946DB" w:rsidRDefault="007946DB" w:rsidP="007946DB">
            <w:pPr>
              <w:shd w:val="clear" w:color="auto" w:fill="FFFFFF"/>
            </w:pPr>
            <w:r>
              <w:t xml:space="preserve">Data </w:t>
            </w:r>
            <w:proofErr w:type="gramStart"/>
            <w:r>
              <w:t>is completed</w:t>
            </w:r>
            <w:proofErr w:type="gramEnd"/>
            <w:r>
              <w:t xml:space="preserve"> before the return to school after Easter. This </w:t>
            </w:r>
            <w:proofErr w:type="gramStart"/>
            <w:r>
              <w:t>is compared</w:t>
            </w:r>
            <w:proofErr w:type="gramEnd"/>
            <w:r>
              <w:t xml:space="preserve"> to the data from Autumn 1.</w:t>
            </w:r>
          </w:p>
        </w:tc>
        <w:tc>
          <w:tcPr>
            <w:tcW w:w="1635" w:type="dxa"/>
          </w:tcPr>
          <w:p w14:paraId="0BDE717B" w14:textId="77777777" w:rsidR="007946DB" w:rsidRDefault="007946DB" w:rsidP="007946DB">
            <w:pPr>
              <w:shd w:val="clear" w:color="auto" w:fill="FFFFFF" w:themeFill="background1"/>
            </w:pPr>
            <w:r>
              <w:lastRenderedPageBreak/>
              <w:t>RD</w:t>
            </w:r>
          </w:p>
          <w:p w14:paraId="4CEAA91C" w14:textId="77777777" w:rsidR="007946DB" w:rsidRDefault="007946DB" w:rsidP="007946DB">
            <w:pPr>
              <w:shd w:val="clear" w:color="auto" w:fill="FFFFFF" w:themeFill="background1"/>
            </w:pPr>
            <w:r>
              <w:t>SS</w:t>
            </w:r>
          </w:p>
          <w:p w14:paraId="4223C6FB" w14:textId="01F17983" w:rsidR="007946DB" w:rsidRDefault="007946DB" w:rsidP="007946DB">
            <w:pPr>
              <w:shd w:val="clear" w:color="auto" w:fill="FFFFFF" w:themeFill="background1"/>
            </w:pPr>
            <w:r>
              <w:t>Teachers</w:t>
            </w:r>
          </w:p>
        </w:tc>
        <w:tc>
          <w:tcPr>
            <w:tcW w:w="1515" w:type="dxa"/>
          </w:tcPr>
          <w:p w14:paraId="719571C2" w14:textId="64DFE9E0" w:rsidR="007946DB" w:rsidRDefault="007946DB" w:rsidP="007946DB">
            <w:pPr>
              <w:shd w:val="clear" w:color="auto" w:fill="FFFFFF"/>
            </w:pPr>
            <w:r>
              <w:t>Spring 2/ summer 1</w:t>
            </w:r>
          </w:p>
        </w:tc>
        <w:tc>
          <w:tcPr>
            <w:tcW w:w="1953" w:type="dxa"/>
          </w:tcPr>
          <w:p w14:paraId="0D3A12DF" w14:textId="67852F86" w:rsidR="007946DB" w:rsidRDefault="007946DB" w:rsidP="007946DB">
            <w:pPr>
              <w:shd w:val="clear" w:color="auto" w:fill="FFFFFF"/>
            </w:pPr>
            <w:r>
              <w:t>Supply cost to release RD to look at data. £300</w:t>
            </w:r>
          </w:p>
        </w:tc>
        <w:tc>
          <w:tcPr>
            <w:tcW w:w="1559" w:type="dxa"/>
          </w:tcPr>
          <w:p w14:paraId="07F29E00" w14:textId="5D842DBA" w:rsidR="007946DB" w:rsidRDefault="007946DB" w:rsidP="007946DB">
            <w:pPr>
              <w:shd w:val="clear" w:color="auto" w:fill="FFFFFF"/>
            </w:pPr>
            <w:r>
              <w:t>Closing the Gap funding</w:t>
            </w:r>
          </w:p>
        </w:tc>
        <w:tc>
          <w:tcPr>
            <w:tcW w:w="1875" w:type="dxa"/>
            <w:shd w:val="clear" w:color="auto" w:fill="auto"/>
          </w:tcPr>
          <w:p w14:paraId="28E2B21B" w14:textId="594F15AC" w:rsidR="007946DB" w:rsidRDefault="007946DB" w:rsidP="007946DB">
            <w:pPr>
              <w:shd w:val="clear" w:color="auto" w:fill="FFFFFF"/>
            </w:pPr>
            <w:r>
              <w:t xml:space="preserve">Children </w:t>
            </w:r>
            <w:proofErr w:type="gramStart"/>
            <w:r>
              <w:t>are identified</w:t>
            </w:r>
            <w:proofErr w:type="gramEnd"/>
            <w:r>
              <w:t xml:space="preserve"> for closing the gap support.</w:t>
            </w:r>
          </w:p>
          <w:p w14:paraId="01A42731" w14:textId="30996D2B" w:rsidR="007946DB" w:rsidRDefault="007946DB" w:rsidP="007946DB">
            <w:pPr>
              <w:shd w:val="clear" w:color="auto" w:fill="FFFFFF"/>
            </w:pPr>
            <w:r>
              <w:t xml:space="preserve">Data is collected through teacher </w:t>
            </w:r>
            <w:r>
              <w:lastRenderedPageBreak/>
              <w:t xml:space="preserve">assessment as a </w:t>
            </w:r>
            <w:proofErr w:type="gramStart"/>
            <w:r>
              <w:t>bench-mark</w:t>
            </w:r>
            <w:proofErr w:type="gramEnd"/>
            <w:r>
              <w:t xml:space="preserve"> for improvement.</w:t>
            </w:r>
          </w:p>
        </w:tc>
        <w:tc>
          <w:tcPr>
            <w:tcW w:w="2803" w:type="dxa"/>
            <w:shd w:val="clear" w:color="auto" w:fill="auto"/>
          </w:tcPr>
          <w:p w14:paraId="11803754" w14:textId="5213996D" w:rsidR="007946DB" w:rsidRDefault="007946DB" w:rsidP="007946DB">
            <w:pPr>
              <w:shd w:val="clear" w:color="auto" w:fill="FFFFFF" w:themeFill="background1"/>
            </w:pPr>
            <w:r>
              <w:lastRenderedPageBreak/>
              <w:t xml:space="preserve">Spring 2 – teachers </w:t>
            </w:r>
            <w:proofErr w:type="gramStart"/>
            <w:r>
              <w:t>have been informed</w:t>
            </w:r>
            <w:proofErr w:type="gramEnd"/>
            <w:r>
              <w:t xml:space="preserve"> about the expectations of identifying and assessing children before Easter. HW Spring 2.</w:t>
            </w:r>
          </w:p>
        </w:tc>
      </w:tr>
      <w:tr w:rsidR="007946DB" w:rsidRPr="00EA04AD" w14:paraId="4AEA3EE4" w14:textId="77777777" w:rsidTr="0D4223EB">
        <w:tc>
          <w:tcPr>
            <w:tcW w:w="3794" w:type="dxa"/>
          </w:tcPr>
          <w:p w14:paraId="7A6AC3E6" w14:textId="61567F3C" w:rsidR="007946DB" w:rsidRDefault="007946DB" w:rsidP="007946DB">
            <w:pPr>
              <w:shd w:val="clear" w:color="auto" w:fill="FFFFFF" w:themeFill="background1"/>
            </w:pPr>
            <w:r>
              <w:lastRenderedPageBreak/>
              <w:t xml:space="preserve">Raising standards in Quality First Teaching is now prioritised as the main way to raise standards for pupils after </w:t>
            </w:r>
            <w:proofErr w:type="spellStart"/>
            <w:proofErr w:type="gramStart"/>
            <w:r>
              <w:t>mid year</w:t>
            </w:r>
            <w:proofErr w:type="spellEnd"/>
            <w:proofErr w:type="gramEnd"/>
            <w:r>
              <w:t xml:space="preserve"> monitoring into the consistent use of metacognition strategies. Teachers </w:t>
            </w:r>
            <w:proofErr w:type="gramStart"/>
            <w:r>
              <w:t>will be supported</w:t>
            </w:r>
            <w:proofErr w:type="gramEnd"/>
            <w:r>
              <w:t xml:space="preserve"> in raising standards in QFT through lesson study, observations and conferencing with book looks.  This is to </w:t>
            </w:r>
            <w:proofErr w:type="gramStart"/>
            <w:r>
              <w:t>be provided</w:t>
            </w:r>
            <w:proofErr w:type="gramEnd"/>
            <w:r>
              <w:t xml:space="preserve"> by subject leaders in English and Maths.</w:t>
            </w:r>
          </w:p>
          <w:p w14:paraId="4D385E68" w14:textId="32209AA2" w:rsidR="007946DB" w:rsidRDefault="007946DB" w:rsidP="007946DB">
            <w:pPr>
              <w:shd w:val="clear" w:color="auto" w:fill="FFFFFF" w:themeFill="background1"/>
            </w:pPr>
            <w:r>
              <w:t xml:space="preserve">Retraining in metacognition to </w:t>
            </w:r>
            <w:proofErr w:type="gramStart"/>
            <w:r>
              <w:t>be given</w:t>
            </w:r>
            <w:proofErr w:type="gramEnd"/>
            <w:r>
              <w:t xml:space="preserve"> to all staff with a specific focus on what this looks like in everyday teaching.</w:t>
            </w:r>
          </w:p>
          <w:p w14:paraId="499889E6" w14:textId="12AB35B7" w:rsidR="007946DB" w:rsidRDefault="007946DB" w:rsidP="007946DB">
            <w:pPr>
              <w:shd w:val="clear" w:color="auto" w:fill="FFFFFF"/>
            </w:pPr>
            <w:r>
              <w:t>SS to deliver Writing CPD for all staff.</w:t>
            </w:r>
          </w:p>
          <w:p w14:paraId="0D2D8DEE" w14:textId="7BEF24C7" w:rsidR="007946DB" w:rsidRDefault="007946DB" w:rsidP="007946DB">
            <w:pPr>
              <w:shd w:val="clear" w:color="auto" w:fill="FFFFFF"/>
            </w:pPr>
            <w:r>
              <w:t>CC to deliver maths CPD for all staff.</w:t>
            </w:r>
          </w:p>
          <w:p w14:paraId="2062D989" w14:textId="21170CE8" w:rsidR="007946DB" w:rsidRDefault="007946DB" w:rsidP="007946DB">
            <w:pPr>
              <w:shd w:val="clear" w:color="auto" w:fill="FFFFFF"/>
            </w:pPr>
            <w:r>
              <w:t xml:space="preserve">SS and CC to support members of staff to deliver QFT using lesson study, modelling effective practice, assisting with planning and book looks etc. </w:t>
            </w:r>
          </w:p>
          <w:p w14:paraId="09A40F66" w14:textId="58213650" w:rsidR="007946DB" w:rsidRPr="00912158" w:rsidRDefault="007946DB" w:rsidP="007946DB">
            <w:pPr>
              <w:shd w:val="clear" w:color="auto" w:fill="FFFFFF"/>
            </w:pPr>
          </w:p>
        </w:tc>
        <w:tc>
          <w:tcPr>
            <w:tcW w:w="1635" w:type="dxa"/>
          </w:tcPr>
          <w:p w14:paraId="527F5CC7" w14:textId="77777777" w:rsidR="007946DB" w:rsidRDefault="007946DB" w:rsidP="007946DB">
            <w:pPr>
              <w:shd w:val="clear" w:color="auto" w:fill="FFFFFF" w:themeFill="background1"/>
            </w:pPr>
            <w:r>
              <w:t>SS</w:t>
            </w:r>
          </w:p>
          <w:p w14:paraId="395EC3B6" w14:textId="77777777" w:rsidR="007946DB" w:rsidRDefault="007946DB" w:rsidP="007946DB">
            <w:pPr>
              <w:shd w:val="clear" w:color="auto" w:fill="FFFFFF" w:themeFill="background1"/>
            </w:pPr>
            <w:r>
              <w:t>CC</w:t>
            </w:r>
          </w:p>
          <w:p w14:paraId="75EF7094" w14:textId="2B1F5F69" w:rsidR="007946DB" w:rsidRPr="00912158" w:rsidRDefault="007946DB" w:rsidP="007946DB">
            <w:pPr>
              <w:shd w:val="clear" w:color="auto" w:fill="FFFFFF" w:themeFill="background1"/>
            </w:pPr>
            <w:r>
              <w:t>Teachers</w:t>
            </w:r>
          </w:p>
        </w:tc>
        <w:tc>
          <w:tcPr>
            <w:tcW w:w="1515" w:type="dxa"/>
          </w:tcPr>
          <w:p w14:paraId="7DBEC444" w14:textId="4C8C9304" w:rsidR="007946DB" w:rsidRPr="00912158" w:rsidRDefault="007946DB" w:rsidP="007946DB">
            <w:pPr>
              <w:shd w:val="clear" w:color="auto" w:fill="FFFFFF"/>
            </w:pPr>
            <w:r>
              <w:t>Spring 2/ Summer 1</w:t>
            </w:r>
          </w:p>
        </w:tc>
        <w:tc>
          <w:tcPr>
            <w:tcW w:w="1953" w:type="dxa"/>
          </w:tcPr>
          <w:p w14:paraId="15CB2765" w14:textId="0FE48C7D" w:rsidR="007946DB" w:rsidRDefault="007946DB" w:rsidP="007946DB">
            <w:pPr>
              <w:shd w:val="clear" w:color="auto" w:fill="FFFFFF"/>
            </w:pPr>
            <w:r>
              <w:t>Supply costs to cover CC to release her from class. 3 Days</w:t>
            </w:r>
          </w:p>
          <w:p w14:paraId="4DEE5D78" w14:textId="6CF9EEB7" w:rsidR="007946DB" w:rsidRDefault="007946DB" w:rsidP="007946DB">
            <w:pPr>
              <w:shd w:val="clear" w:color="auto" w:fill="FFFFFF"/>
            </w:pPr>
            <w:r>
              <w:t>£450</w:t>
            </w:r>
          </w:p>
          <w:p w14:paraId="1A7C5121" w14:textId="7F30FF9D" w:rsidR="007946DB" w:rsidRPr="00912158" w:rsidRDefault="007946DB" w:rsidP="007946DB">
            <w:pPr>
              <w:shd w:val="clear" w:color="auto" w:fill="FFFFFF"/>
            </w:pPr>
          </w:p>
        </w:tc>
        <w:tc>
          <w:tcPr>
            <w:tcW w:w="1559" w:type="dxa"/>
          </w:tcPr>
          <w:p w14:paraId="2E410C2C" w14:textId="4003D7C8" w:rsidR="007946DB" w:rsidRPr="00912158" w:rsidRDefault="007946DB" w:rsidP="007946DB">
            <w:pPr>
              <w:shd w:val="clear" w:color="auto" w:fill="FFFFFF"/>
            </w:pPr>
            <w:r>
              <w:t>Closing the Gap funding</w:t>
            </w:r>
          </w:p>
        </w:tc>
        <w:tc>
          <w:tcPr>
            <w:tcW w:w="1875" w:type="dxa"/>
            <w:shd w:val="clear" w:color="auto" w:fill="auto"/>
          </w:tcPr>
          <w:p w14:paraId="4F5A272D" w14:textId="77777777" w:rsidR="007946DB" w:rsidRDefault="007946DB" w:rsidP="007946DB">
            <w:pPr>
              <w:shd w:val="clear" w:color="auto" w:fill="FFFFFF"/>
            </w:pPr>
            <w:r>
              <w:t>Staff are confident in what QFT in English and Maths looks like and have the support they need to raise standards in teaching and learning.</w:t>
            </w:r>
          </w:p>
          <w:p w14:paraId="107CBBC5" w14:textId="4268BFAC" w:rsidR="007946DB" w:rsidRPr="00912158" w:rsidRDefault="007946DB" w:rsidP="007946DB">
            <w:pPr>
              <w:shd w:val="clear" w:color="auto" w:fill="FFFFFF"/>
            </w:pPr>
            <w:r>
              <w:t>All pupils receive QFT – disadvantaged pupils</w:t>
            </w:r>
          </w:p>
        </w:tc>
        <w:tc>
          <w:tcPr>
            <w:tcW w:w="2803" w:type="dxa"/>
            <w:shd w:val="clear" w:color="auto" w:fill="auto"/>
          </w:tcPr>
          <w:p w14:paraId="5B07F481" w14:textId="77777777" w:rsidR="007946DB" w:rsidRDefault="007946DB" w:rsidP="007946DB">
            <w:pPr>
              <w:shd w:val="clear" w:color="auto" w:fill="FFFFFF" w:themeFill="background1"/>
            </w:pPr>
            <w:r>
              <w:t xml:space="preserve">SS delivered staff training on the teaching sequence to all staff.  Monitoring based on this training to take place in Sumer 1. </w:t>
            </w:r>
          </w:p>
          <w:p w14:paraId="1C3C287F" w14:textId="5D23EB66" w:rsidR="007946DB" w:rsidRPr="00912158" w:rsidRDefault="007946DB" w:rsidP="007946DB">
            <w:pPr>
              <w:shd w:val="clear" w:color="auto" w:fill="FFFFFF" w:themeFill="background1"/>
            </w:pPr>
            <w:r>
              <w:t>SS worked alongside CC to plan a unit of work.</w:t>
            </w:r>
          </w:p>
        </w:tc>
      </w:tr>
      <w:tr w:rsidR="007946DB" w:rsidRPr="00EA04AD" w14:paraId="7E9192F8" w14:textId="77777777" w:rsidTr="0D4223EB">
        <w:tc>
          <w:tcPr>
            <w:tcW w:w="3794" w:type="dxa"/>
          </w:tcPr>
          <w:p w14:paraId="6B475A88" w14:textId="72FDFC8C" w:rsidR="007946DB" w:rsidRPr="00804A4E" w:rsidRDefault="007946DB" w:rsidP="007946DB">
            <w:pPr>
              <w:shd w:val="clear" w:color="auto" w:fill="FFFFFF" w:themeFill="background1"/>
              <w:rPr>
                <w:highlight w:val="green"/>
              </w:rPr>
            </w:pPr>
            <w:r>
              <w:lastRenderedPageBreak/>
              <w:t xml:space="preserve">Technology in classrooms to support Quality First Teaching </w:t>
            </w:r>
            <w:proofErr w:type="gramStart"/>
            <w:r>
              <w:t>is prioritised</w:t>
            </w:r>
            <w:proofErr w:type="gramEnd"/>
            <w:r>
              <w:t xml:space="preserve">. This is to support those pupils who </w:t>
            </w:r>
            <w:proofErr w:type="gramStart"/>
            <w:r>
              <w:t>have been identified</w:t>
            </w:r>
            <w:proofErr w:type="gramEnd"/>
            <w:r>
              <w:t xml:space="preserve"> as requiring everyday programmes to improve fluency.</w:t>
            </w:r>
          </w:p>
        </w:tc>
        <w:tc>
          <w:tcPr>
            <w:tcW w:w="1635" w:type="dxa"/>
          </w:tcPr>
          <w:p w14:paraId="0B0175F3" w14:textId="77777777" w:rsidR="007946DB" w:rsidRDefault="007946DB" w:rsidP="007946DB">
            <w:pPr>
              <w:shd w:val="clear" w:color="auto" w:fill="FFFFFF" w:themeFill="background1"/>
            </w:pPr>
            <w:r w:rsidRPr="00040C6E">
              <w:t>VG</w:t>
            </w:r>
          </w:p>
          <w:p w14:paraId="2B68FE2E" w14:textId="16ACDF06" w:rsidR="007946DB" w:rsidRPr="00040C6E" w:rsidRDefault="007946DB" w:rsidP="007946DB">
            <w:pPr>
              <w:shd w:val="clear" w:color="auto" w:fill="FFFFFF" w:themeFill="background1"/>
            </w:pPr>
            <w:r>
              <w:t>Teachers</w:t>
            </w:r>
          </w:p>
        </w:tc>
        <w:tc>
          <w:tcPr>
            <w:tcW w:w="1515" w:type="dxa"/>
          </w:tcPr>
          <w:p w14:paraId="75EBFE67" w14:textId="77777777" w:rsidR="007946DB" w:rsidRPr="00040C6E" w:rsidRDefault="007946DB" w:rsidP="007946DB">
            <w:pPr>
              <w:shd w:val="clear" w:color="auto" w:fill="FFFFFF"/>
            </w:pPr>
          </w:p>
        </w:tc>
        <w:tc>
          <w:tcPr>
            <w:tcW w:w="1953" w:type="dxa"/>
          </w:tcPr>
          <w:p w14:paraId="7CE65596" w14:textId="7F05C137" w:rsidR="007946DB" w:rsidRDefault="007946DB" w:rsidP="007946DB">
            <w:pPr>
              <w:shd w:val="clear" w:color="auto" w:fill="FFFFFF"/>
            </w:pPr>
            <w:r>
              <w:t xml:space="preserve">30 </w:t>
            </w:r>
            <w:proofErr w:type="spellStart"/>
            <w:r>
              <w:t>ipads</w:t>
            </w:r>
            <w:proofErr w:type="spellEnd"/>
            <w:r>
              <w:t xml:space="preserve"> and cases</w:t>
            </w:r>
          </w:p>
          <w:p w14:paraId="51CEA45C" w14:textId="77777777" w:rsidR="007946DB" w:rsidRDefault="007946DB" w:rsidP="007946DB">
            <w:pPr>
              <w:shd w:val="clear" w:color="auto" w:fill="FFFFFF"/>
            </w:pPr>
            <w:proofErr w:type="gramStart"/>
            <w:r>
              <w:t>with</w:t>
            </w:r>
            <w:proofErr w:type="gramEnd"/>
            <w:r>
              <w:t xml:space="preserve"> secure storage facilities.</w:t>
            </w:r>
          </w:p>
          <w:p w14:paraId="798BB17F" w14:textId="72A15D37" w:rsidR="007946DB" w:rsidRPr="00040C6E" w:rsidRDefault="007946DB" w:rsidP="007946DB">
            <w:pPr>
              <w:shd w:val="clear" w:color="auto" w:fill="FFFFFF"/>
            </w:pPr>
            <w:r>
              <w:t>£13,300</w:t>
            </w:r>
          </w:p>
        </w:tc>
        <w:tc>
          <w:tcPr>
            <w:tcW w:w="1559" w:type="dxa"/>
          </w:tcPr>
          <w:p w14:paraId="7F254D8B" w14:textId="6E79F583" w:rsidR="007946DB" w:rsidRPr="00040C6E" w:rsidRDefault="007946DB" w:rsidP="007946DB">
            <w:pPr>
              <w:shd w:val="clear" w:color="auto" w:fill="FFFFFF"/>
            </w:pPr>
            <w:r>
              <w:t>Closing the Gap funding</w:t>
            </w:r>
          </w:p>
        </w:tc>
        <w:tc>
          <w:tcPr>
            <w:tcW w:w="1875" w:type="dxa"/>
            <w:shd w:val="clear" w:color="auto" w:fill="auto"/>
          </w:tcPr>
          <w:p w14:paraId="551CC9CD" w14:textId="556A784F" w:rsidR="007946DB" w:rsidRPr="00040C6E" w:rsidRDefault="007946DB" w:rsidP="007946DB">
            <w:pPr>
              <w:shd w:val="clear" w:color="auto" w:fill="FFFFFF" w:themeFill="background1"/>
            </w:pPr>
            <w:r>
              <w:t xml:space="preserve"> Additional </w:t>
            </w:r>
            <w:proofErr w:type="spellStart"/>
            <w:r>
              <w:t>ipads</w:t>
            </w:r>
            <w:proofErr w:type="spellEnd"/>
            <w:r>
              <w:t xml:space="preserve"> are purchased to ensure that intervention can take place in all classrooms using IDL, fluency apps, read theory etc.</w:t>
            </w:r>
          </w:p>
        </w:tc>
        <w:tc>
          <w:tcPr>
            <w:tcW w:w="2803" w:type="dxa"/>
            <w:shd w:val="clear" w:color="auto" w:fill="auto"/>
          </w:tcPr>
          <w:p w14:paraId="4C76A480" w14:textId="77777777" w:rsidR="007946DB" w:rsidRPr="00040C6E" w:rsidRDefault="007946DB" w:rsidP="007946DB">
            <w:pPr>
              <w:shd w:val="clear" w:color="auto" w:fill="FFFFFF" w:themeFill="background1"/>
            </w:pPr>
          </w:p>
        </w:tc>
      </w:tr>
      <w:tr w:rsidR="007946DB" w:rsidRPr="00EA04AD" w14:paraId="748A2E0A" w14:textId="77777777" w:rsidTr="0D4223EB">
        <w:tc>
          <w:tcPr>
            <w:tcW w:w="3794" w:type="dxa"/>
          </w:tcPr>
          <w:p w14:paraId="330148D7" w14:textId="770EEB87" w:rsidR="007946DB" w:rsidRPr="00804A4E" w:rsidRDefault="007946DB" w:rsidP="007946DB">
            <w:pPr>
              <w:shd w:val="clear" w:color="auto" w:fill="FFFFFF"/>
              <w:rPr>
                <w:highlight w:val="green"/>
              </w:rPr>
            </w:pPr>
            <w:r w:rsidRPr="00804A4E">
              <w:rPr>
                <w:highlight w:val="green"/>
              </w:rPr>
              <w:t>Paper resources and stationary for all pupils so that they can do blended learning and have access to CGP workbooks with year group expectations.</w:t>
            </w:r>
          </w:p>
        </w:tc>
        <w:tc>
          <w:tcPr>
            <w:tcW w:w="1635" w:type="dxa"/>
          </w:tcPr>
          <w:p w14:paraId="53542377" w14:textId="77777777" w:rsidR="007946DB" w:rsidRPr="00804A4E" w:rsidRDefault="007946DB" w:rsidP="007946DB">
            <w:pPr>
              <w:shd w:val="clear" w:color="auto" w:fill="FFFFFF" w:themeFill="background1"/>
              <w:rPr>
                <w:highlight w:val="green"/>
              </w:rPr>
            </w:pPr>
          </w:p>
        </w:tc>
        <w:tc>
          <w:tcPr>
            <w:tcW w:w="1515" w:type="dxa"/>
          </w:tcPr>
          <w:p w14:paraId="5DE17162" w14:textId="77777777" w:rsidR="007946DB" w:rsidRPr="00804A4E" w:rsidRDefault="007946DB" w:rsidP="007946DB">
            <w:pPr>
              <w:shd w:val="clear" w:color="auto" w:fill="FFFFFF"/>
              <w:rPr>
                <w:highlight w:val="green"/>
              </w:rPr>
            </w:pPr>
          </w:p>
        </w:tc>
        <w:tc>
          <w:tcPr>
            <w:tcW w:w="1953" w:type="dxa"/>
          </w:tcPr>
          <w:p w14:paraId="2CC79EAF" w14:textId="1D8D3841" w:rsidR="007946DB" w:rsidRPr="00804A4E" w:rsidRDefault="007946DB" w:rsidP="007946DB">
            <w:pPr>
              <w:shd w:val="clear" w:color="auto" w:fill="FFFFFF"/>
              <w:rPr>
                <w:highlight w:val="green"/>
              </w:rPr>
            </w:pPr>
            <w:r>
              <w:rPr>
                <w:highlight w:val="green"/>
              </w:rPr>
              <w:t>£2760</w:t>
            </w:r>
          </w:p>
        </w:tc>
        <w:tc>
          <w:tcPr>
            <w:tcW w:w="1559" w:type="dxa"/>
          </w:tcPr>
          <w:p w14:paraId="011F7080" w14:textId="77777777" w:rsidR="007946DB" w:rsidRPr="00804A4E" w:rsidRDefault="007946DB" w:rsidP="007946DB">
            <w:pPr>
              <w:shd w:val="clear" w:color="auto" w:fill="FFFFFF"/>
              <w:rPr>
                <w:highlight w:val="green"/>
              </w:rPr>
            </w:pPr>
          </w:p>
        </w:tc>
        <w:tc>
          <w:tcPr>
            <w:tcW w:w="1875" w:type="dxa"/>
            <w:shd w:val="clear" w:color="auto" w:fill="auto"/>
          </w:tcPr>
          <w:p w14:paraId="2E2B9892" w14:textId="0E105DD0" w:rsidR="007946DB" w:rsidRPr="00804A4E" w:rsidRDefault="007946DB" w:rsidP="007946DB">
            <w:pPr>
              <w:shd w:val="clear" w:color="auto" w:fill="FFFFFF"/>
              <w:rPr>
                <w:highlight w:val="green"/>
              </w:rPr>
            </w:pPr>
            <w:r w:rsidRPr="00804A4E">
              <w:rPr>
                <w:highlight w:val="green"/>
              </w:rPr>
              <w:t>All pupils have access to paper based learning in the event of a further lockdown or isolation.</w:t>
            </w:r>
          </w:p>
        </w:tc>
        <w:tc>
          <w:tcPr>
            <w:tcW w:w="2803" w:type="dxa"/>
            <w:shd w:val="clear" w:color="auto" w:fill="auto"/>
          </w:tcPr>
          <w:p w14:paraId="5988EA1D" w14:textId="38C51978" w:rsidR="007946DB" w:rsidRPr="00804A4E" w:rsidRDefault="007946DB" w:rsidP="007946DB">
            <w:pPr>
              <w:shd w:val="clear" w:color="auto" w:fill="FFFFFF" w:themeFill="background1"/>
              <w:rPr>
                <w:highlight w:val="green"/>
              </w:rPr>
            </w:pPr>
            <w:r w:rsidRPr="00804A4E">
              <w:rPr>
                <w:highlight w:val="green"/>
              </w:rPr>
              <w:t>Achieved Dec. 2020.  These packs were used by children during Lockdown 3</w:t>
            </w:r>
          </w:p>
        </w:tc>
      </w:tr>
      <w:tr w:rsidR="007946DB" w:rsidRPr="00EA04AD" w14:paraId="28604C43" w14:textId="77777777" w:rsidTr="0D4223EB">
        <w:tc>
          <w:tcPr>
            <w:tcW w:w="3794" w:type="dxa"/>
          </w:tcPr>
          <w:p w14:paraId="79866691" w14:textId="7529B040" w:rsidR="007946DB" w:rsidRPr="00804A4E" w:rsidRDefault="007946DB" w:rsidP="007946DB">
            <w:pPr>
              <w:shd w:val="clear" w:color="auto" w:fill="FFFFFF"/>
              <w:rPr>
                <w:highlight w:val="green"/>
              </w:rPr>
            </w:pPr>
            <w:r w:rsidRPr="00804A4E">
              <w:rPr>
                <w:highlight w:val="green"/>
              </w:rPr>
              <w:t>Access to technology at home – donated, refurbished machines</w:t>
            </w:r>
          </w:p>
          <w:p w14:paraId="28EFC1CA" w14:textId="77777777" w:rsidR="007946DB" w:rsidRPr="00804A4E" w:rsidRDefault="007946DB" w:rsidP="007946DB">
            <w:pPr>
              <w:shd w:val="clear" w:color="auto" w:fill="FFFFFF"/>
              <w:rPr>
                <w:highlight w:val="green"/>
              </w:rPr>
            </w:pPr>
            <w:proofErr w:type="spellStart"/>
            <w:r w:rsidRPr="00804A4E">
              <w:rPr>
                <w:highlight w:val="green"/>
              </w:rPr>
              <w:t>Pobble</w:t>
            </w:r>
            <w:proofErr w:type="spellEnd"/>
            <w:r w:rsidRPr="00804A4E">
              <w:rPr>
                <w:highlight w:val="green"/>
              </w:rPr>
              <w:t xml:space="preserve"> 365</w:t>
            </w:r>
          </w:p>
          <w:p w14:paraId="4558F77C" w14:textId="77777777" w:rsidR="007946DB" w:rsidRPr="00804A4E" w:rsidRDefault="007946DB" w:rsidP="007946DB">
            <w:pPr>
              <w:shd w:val="clear" w:color="auto" w:fill="FFFFFF"/>
              <w:rPr>
                <w:highlight w:val="green"/>
              </w:rPr>
            </w:pPr>
            <w:r w:rsidRPr="00804A4E">
              <w:rPr>
                <w:highlight w:val="green"/>
              </w:rPr>
              <w:t>Google teams</w:t>
            </w:r>
          </w:p>
          <w:p w14:paraId="00D0A4BB" w14:textId="77777777" w:rsidR="007946DB" w:rsidRPr="00804A4E" w:rsidRDefault="007946DB" w:rsidP="007946DB">
            <w:pPr>
              <w:shd w:val="clear" w:color="auto" w:fill="FFFFFF"/>
              <w:rPr>
                <w:highlight w:val="green"/>
              </w:rPr>
            </w:pPr>
            <w:r w:rsidRPr="00804A4E">
              <w:rPr>
                <w:highlight w:val="green"/>
              </w:rPr>
              <w:t>IDL</w:t>
            </w:r>
          </w:p>
          <w:p w14:paraId="5F4C5DBE" w14:textId="2D23F1F9" w:rsidR="007946DB" w:rsidRPr="00804A4E" w:rsidRDefault="007946DB" w:rsidP="007946DB">
            <w:pPr>
              <w:shd w:val="clear" w:color="auto" w:fill="FFFFFF"/>
              <w:rPr>
                <w:highlight w:val="green"/>
              </w:rPr>
            </w:pPr>
            <w:r w:rsidRPr="00804A4E">
              <w:rPr>
                <w:highlight w:val="green"/>
              </w:rPr>
              <w:t>Remote Learning - Google classroom/meet</w:t>
            </w:r>
          </w:p>
          <w:p w14:paraId="0FB52AA1" w14:textId="77777777" w:rsidR="007946DB" w:rsidRPr="00804A4E" w:rsidRDefault="007946DB" w:rsidP="007946DB">
            <w:pPr>
              <w:numPr>
                <w:ilvl w:val="0"/>
                <w:numId w:val="10"/>
              </w:numPr>
              <w:shd w:val="clear" w:color="auto" w:fill="FFFFFF"/>
              <w:rPr>
                <w:highlight w:val="green"/>
              </w:rPr>
            </w:pPr>
            <w:r w:rsidRPr="00804A4E">
              <w:rPr>
                <w:highlight w:val="green"/>
              </w:rPr>
              <w:t>Bedtime stories</w:t>
            </w:r>
          </w:p>
          <w:p w14:paraId="343110F2" w14:textId="77777777" w:rsidR="007946DB" w:rsidRPr="00804A4E" w:rsidRDefault="007946DB" w:rsidP="007946DB">
            <w:pPr>
              <w:numPr>
                <w:ilvl w:val="0"/>
                <w:numId w:val="10"/>
              </w:numPr>
              <w:shd w:val="clear" w:color="auto" w:fill="FFFFFF"/>
              <w:rPr>
                <w:highlight w:val="green"/>
              </w:rPr>
            </w:pPr>
            <w:r w:rsidRPr="00804A4E">
              <w:rPr>
                <w:highlight w:val="green"/>
              </w:rPr>
              <w:t>Feedback</w:t>
            </w:r>
          </w:p>
          <w:p w14:paraId="5963DF11" w14:textId="77777777" w:rsidR="007946DB" w:rsidRPr="00804A4E" w:rsidRDefault="007946DB" w:rsidP="007946DB">
            <w:pPr>
              <w:numPr>
                <w:ilvl w:val="0"/>
                <w:numId w:val="10"/>
              </w:numPr>
              <w:shd w:val="clear" w:color="auto" w:fill="FFFFFF"/>
              <w:rPr>
                <w:highlight w:val="green"/>
              </w:rPr>
            </w:pPr>
            <w:r w:rsidRPr="00804A4E">
              <w:rPr>
                <w:highlight w:val="green"/>
              </w:rPr>
              <w:t>Face to face teaching</w:t>
            </w:r>
          </w:p>
          <w:p w14:paraId="67717022" w14:textId="77777777" w:rsidR="007946DB" w:rsidRPr="00804A4E" w:rsidRDefault="007946DB" w:rsidP="007946DB">
            <w:pPr>
              <w:numPr>
                <w:ilvl w:val="0"/>
                <w:numId w:val="10"/>
              </w:numPr>
              <w:shd w:val="clear" w:color="auto" w:fill="FFFFFF"/>
              <w:rPr>
                <w:highlight w:val="green"/>
              </w:rPr>
            </w:pPr>
            <w:r w:rsidRPr="00804A4E">
              <w:rPr>
                <w:highlight w:val="green"/>
              </w:rPr>
              <w:t>Home learning</w:t>
            </w:r>
          </w:p>
          <w:p w14:paraId="05E7A3D8" w14:textId="77777777" w:rsidR="007946DB" w:rsidRPr="00804A4E" w:rsidRDefault="007946DB" w:rsidP="007946DB">
            <w:pPr>
              <w:numPr>
                <w:ilvl w:val="0"/>
                <w:numId w:val="10"/>
              </w:numPr>
              <w:shd w:val="clear" w:color="auto" w:fill="FFFFFF"/>
              <w:rPr>
                <w:highlight w:val="green"/>
              </w:rPr>
            </w:pPr>
            <w:r w:rsidRPr="00804A4E">
              <w:rPr>
                <w:highlight w:val="green"/>
              </w:rPr>
              <w:t>Collaborative learning</w:t>
            </w:r>
          </w:p>
          <w:p w14:paraId="34A6C48E" w14:textId="77777777" w:rsidR="007946DB" w:rsidRPr="00804A4E" w:rsidRDefault="007946DB" w:rsidP="007946DB">
            <w:pPr>
              <w:shd w:val="clear" w:color="auto" w:fill="FFFFFF"/>
              <w:ind w:left="720"/>
              <w:rPr>
                <w:highlight w:val="green"/>
              </w:rPr>
            </w:pPr>
          </w:p>
        </w:tc>
        <w:tc>
          <w:tcPr>
            <w:tcW w:w="1635" w:type="dxa"/>
          </w:tcPr>
          <w:p w14:paraId="0E7E935E" w14:textId="77777777" w:rsidR="007946DB" w:rsidRPr="00804A4E" w:rsidRDefault="007946DB" w:rsidP="007946DB">
            <w:pPr>
              <w:shd w:val="clear" w:color="auto" w:fill="FFFFFF"/>
              <w:rPr>
                <w:highlight w:val="green"/>
              </w:rPr>
            </w:pPr>
            <w:r w:rsidRPr="00804A4E">
              <w:rPr>
                <w:highlight w:val="green"/>
              </w:rPr>
              <w:t>SH</w:t>
            </w:r>
          </w:p>
        </w:tc>
        <w:tc>
          <w:tcPr>
            <w:tcW w:w="1515" w:type="dxa"/>
          </w:tcPr>
          <w:p w14:paraId="0ABA5909" w14:textId="77777777" w:rsidR="007946DB" w:rsidRPr="00804A4E" w:rsidRDefault="007946DB" w:rsidP="007946DB">
            <w:pPr>
              <w:shd w:val="clear" w:color="auto" w:fill="FFFFFF"/>
              <w:rPr>
                <w:highlight w:val="green"/>
              </w:rPr>
            </w:pPr>
            <w:r w:rsidRPr="00804A4E">
              <w:rPr>
                <w:highlight w:val="green"/>
              </w:rPr>
              <w:t>ASAP</w:t>
            </w:r>
          </w:p>
        </w:tc>
        <w:tc>
          <w:tcPr>
            <w:tcW w:w="1953" w:type="dxa"/>
          </w:tcPr>
          <w:p w14:paraId="470EB699" w14:textId="275CDB7B" w:rsidR="007946DB" w:rsidRPr="00804A4E" w:rsidRDefault="007946DB" w:rsidP="007946DB">
            <w:pPr>
              <w:shd w:val="clear" w:color="auto" w:fill="FFFFFF"/>
              <w:rPr>
                <w:highlight w:val="green"/>
              </w:rPr>
            </w:pPr>
            <w:r w:rsidRPr="00804A4E">
              <w:rPr>
                <w:highlight w:val="green"/>
              </w:rPr>
              <w:t>£4000 donation towards disadvantaged pupils without ICT</w:t>
            </w:r>
          </w:p>
        </w:tc>
        <w:tc>
          <w:tcPr>
            <w:tcW w:w="1559" w:type="dxa"/>
          </w:tcPr>
          <w:p w14:paraId="3003DFEE" w14:textId="77777777" w:rsidR="007946DB" w:rsidRPr="00804A4E" w:rsidRDefault="007946DB" w:rsidP="007946DB">
            <w:pPr>
              <w:shd w:val="clear" w:color="auto" w:fill="FFFFFF"/>
              <w:rPr>
                <w:highlight w:val="green"/>
              </w:rPr>
            </w:pPr>
            <w:r w:rsidRPr="00804A4E">
              <w:rPr>
                <w:highlight w:val="green"/>
              </w:rPr>
              <w:t xml:space="preserve">Catch up funding </w:t>
            </w:r>
          </w:p>
        </w:tc>
        <w:tc>
          <w:tcPr>
            <w:tcW w:w="1875" w:type="dxa"/>
            <w:shd w:val="clear" w:color="auto" w:fill="auto"/>
          </w:tcPr>
          <w:p w14:paraId="145DE412" w14:textId="77777777" w:rsidR="007946DB" w:rsidRPr="00804A4E" w:rsidRDefault="007946DB" w:rsidP="007946DB">
            <w:pPr>
              <w:shd w:val="clear" w:color="auto" w:fill="FFFFFF"/>
              <w:rPr>
                <w:highlight w:val="green"/>
              </w:rPr>
            </w:pPr>
            <w:r w:rsidRPr="00804A4E">
              <w:rPr>
                <w:highlight w:val="green"/>
              </w:rPr>
              <w:t>All pupils have access to a laptop/tablet at home for remote learning at all times not just in times of isolation/lockdown</w:t>
            </w:r>
          </w:p>
        </w:tc>
        <w:tc>
          <w:tcPr>
            <w:tcW w:w="2803" w:type="dxa"/>
            <w:shd w:val="clear" w:color="auto" w:fill="auto"/>
          </w:tcPr>
          <w:p w14:paraId="4E2B1A8C" w14:textId="5F00A532" w:rsidR="007946DB" w:rsidRPr="00804A4E" w:rsidRDefault="007946DB" w:rsidP="007946DB">
            <w:pPr>
              <w:pStyle w:val="ListParagraph"/>
              <w:numPr>
                <w:ilvl w:val="0"/>
                <w:numId w:val="3"/>
              </w:numPr>
              <w:shd w:val="clear" w:color="auto" w:fill="FFFFFF" w:themeFill="background1"/>
              <w:rPr>
                <w:rFonts w:eastAsia="Lucida Sans Unicode" w:cs="Lucida Sans Unicode"/>
                <w:highlight w:val="green"/>
              </w:rPr>
            </w:pPr>
            <w:r w:rsidRPr="00804A4E">
              <w:rPr>
                <w:highlight w:val="green"/>
              </w:rPr>
              <w:t xml:space="preserve">SH – old school </w:t>
            </w:r>
            <w:proofErr w:type="spellStart"/>
            <w:r w:rsidRPr="00804A4E">
              <w:rPr>
                <w:highlight w:val="green"/>
              </w:rPr>
              <w:t>ipads</w:t>
            </w:r>
            <w:proofErr w:type="spellEnd"/>
            <w:r w:rsidRPr="00804A4E">
              <w:rPr>
                <w:highlight w:val="green"/>
              </w:rPr>
              <w:t xml:space="preserve"> have been given to vulnerable children with phone calls made to home to ensure that parents are aware and can support their children with access via chargers and WIFI – Completed Autumn </w:t>
            </w:r>
            <w:proofErr w:type="gramStart"/>
            <w:r w:rsidRPr="00804A4E">
              <w:rPr>
                <w:highlight w:val="green"/>
              </w:rPr>
              <w:t>1 .</w:t>
            </w:r>
            <w:proofErr w:type="gramEnd"/>
            <w:r w:rsidRPr="00804A4E">
              <w:rPr>
                <w:highlight w:val="green"/>
              </w:rPr>
              <w:t xml:space="preserve"> </w:t>
            </w:r>
          </w:p>
          <w:p w14:paraId="36CE6208" w14:textId="2F6240E2" w:rsidR="007946DB" w:rsidRPr="00804A4E" w:rsidRDefault="007946DB" w:rsidP="007946DB">
            <w:pPr>
              <w:pStyle w:val="ListParagraph"/>
              <w:numPr>
                <w:ilvl w:val="0"/>
                <w:numId w:val="3"/>
              </w:numPr>
              <w:shd w:val="clear" w:color="auto" w:fill="FFFFFF" w:themeFill="background1"/>
              <w:rPr>
                <w:rFonts w:eastAsia="Lucida Sans Unicode" w:cs="Lucida Sans Unicode"/>
                <w:highlight w:val="green"/>
              </w:rPr>
            </w:pPr>
            <w:r w:rsidRPr="00804A4E">
              <w:rPr>
                <w:highlight w:val="green"/>
              </w:rPr>
              <w:t xml:space="preserve">VG – Purchase of </w:t>
            </w:r>
            <w:proofErr w:type="spellStart"/>
            <w:r w:rsidRPr="00804A4E">
              <w:rPr>
                <w:highlight w:val="green"/>
              </w:rPr>
              <w:t>Ipads</w:t>
            </w:r>
            <w:proofErr w:type="spellEnd"/>
            <w:r w:rsidRPr="00804A4E">
              <w:rPr>
                <w:highlight w:val="green"/>
              </w:rPr>
              <w:t xml:space="preserve"> using £4k donation to </w:t>
            </w:r>
            <w:r w:rsidRPr="00804A4E">
              <w:rPr>
                <w:highlight w:val="green"/>
              </w:rPr>
              <w:lastRenderedPageBreak/>
              <w:t xml:space="preserve">support children in class/home </w:t>
            </w:r>
          </w:p>
          <w:p w14:paraId="4B94D5A5" w14:textId="38D6AB1F" w:rsidR="007946DB" w:rsidRPr="00804A4E" w:rsidRDefault="007946DB" w:rsidP="007946DB">
            <w:pPr>
              <w:shd w:val="clear" w:color="auto" w:fill="FFFFFF" w:themeFill="background1"/>
              <w:rPr>
                <w:highlight w:val="green"/>
              </w:rPr>
            </w:pPr>
          </w:p>
        </w:tc>
      </w:tr>
      <w:tr w:rsidR="007946DB" w:rsidRPr="00EA04AD" w14:paraId="31FDA544" w14:textId="77777777" w:rsidTr="0D4223EB">
        <w:tc>
          <w:tcPr>
            <w:tcW w:w="15134" w:type="dxa"/>
            <w:gridSpan w:val="7"/>
          </w:tcPr>
          <w:p w14:paraId="33DF3686" w14:textId="77777777" w:rsidR="007946DB" w:rsidRPr="00EA04AD" w:rsidRDefault="007946DB" w:rsidP="007946DB">
            <w:pPr>
              <w:shd w:val="clear" w:color="auto" w:fill="FFFFFF"/>
            </w:pPr>
            <w:bookmarkStart w:id="0" w:name="_GoBack"/>
            <w:bookmarkEnd w:id="0"/>
            <w:r w:rsidRPr="00611DB7">
              <w:rPr>
                <w:b/>
                <w:sz w:val="24"/>
                <w:szCs w:val="24"/>
              </w:rPr>
              <w:lastRenderedPageBreak/>
              <w:t xml:space="preserve">Wider Strategies </w:t>
            </w:r>
          </w:p>
        </w:tc>
      </w:tr>
      <w:tr w:rsidR="007946DB" w:rsidRPr="00EA04AD" w14:paraId="1DDAE20E" w14:textId="77777777" w:rsidTr="0D4223EB">
        <w:tc>
          <w:tcPr>
            <w:tcW w:w="3794" w:type="dxa"/>
          </w:tcPr>
          <w:p w14:paraId="02A545D8" w14:textId="77777777" w:rsidR="007946DB" w:rsidRPr="007946DB" w:rsidRDefault="007946DB" w:rsidP="007946DB">
            <w:pPr>
              <w:shd w:val="clear" w:color="auto" w:fill="FFFFFF"/>
            </w:pPr>
            <w:r w:rsidRPr="007946DB">
              <w:t xml:space="preserve">SEMH – Nurture, ELSA TA, PSHE, </w:t>
            </w:r>
            <w:proofErr w:type="spellStart"/>
            <w:r w:rsidRPr="007946DB">
              <w:t>Camhs</w:t>
            </w:r>
            <w:proofErr w:type="spellEnd"/>
            <w:r w:rsidRPr="007946DB">
              <w:t xml:space="preserve"> materials</w:t>
            </w:r>
          </w:p>
          <w:p w14:paraId="431F254D" w14:textId="23EB4C8C" w:rsidR="007946DB" w:rsidRPr="007946DB" w:rsidRDefault="007946DB" w:rsidP="007946DB">
            <w:pPr>
              <w:shd w:val="clear" w:color="auto" w:fill="FFFFFF"/>
            </w:pPr>
            <w:r w:rsidRPr="007946DB">
              <w:t>Learning Mentors to provide additional nurture and homework support for 1 hour per week for 1 hour.</w:t>
            </w:r>
          </w:p>
        </w:tc>
        <w:tc>
          <w:tcPr>
            <w:tcW w:w="1635" w:type="dxa"/>
          </w:tcPr>
          <w:p w14:paraId="3817B394" w14:textId="77777777" w:rsidR="007946DB" w:rsidRPr="007946DB" w:rsidRDefault="007946DB" w:rsidP="007946DB">
            <w:pPr>
              <w:shd w:val="clear" w:color="auto" w:fill="FFFFFF"/>
            </w:pPr>
            <w:r w:rsidRPr="007946DB">
              <w:t>HW</w:t>
            </w:r>
          </w:p>
          <w:p w14:paraId="6ED061FB" w14:textId="77777777" w:rsidR="007946DB" w:rsidRPr="007946DB" w:rsidRDefault="007946DB" w:rsidP="007946DB">
            <w:pPr>
              <w:shd w:val="clear" w:color="auto" w:fill="FFFFFF"/>
            </w:pPr>
            <w:r w:rsidRPr="007946DB">
              <w:t>AL/SH</w:t>
            </w:r>
          </w:p>
        </w:tc>
        <w:tc>
          <w:tcPr>
            <w:tcW w:w="1515" w:type="dxa"/>
          </w:tcPr>
          <w:p w14:paraId="576E7ACC" w14:textId="77777777" w:rsidR="007946DB" w:rsidRPr="007946DB" w:rsidRDefault="007946DB" w:rsidP="007946DB">
            <w:pPr>
              <w:shd w:val="clear" w:color="auto" w:fill="FFFFFF"/>
            </w:pPr>
            <w:r w:rsidRPr="007946DB">
              <w:t>Ongoing</w:t>
            </w:r>
          </w:p>
        </w:tc>
        <w:tc>
          <w:tcPr>
            <w:tcW w:w="1953" w:type="dxa"/>
          </w:tcPr>
          <w:p w14:paraId="34824FA9" w14:textId="30A3C8A7" w:rsidR="007946DB" w:rsidRPr="007946DB" w:rsidRDefault="007946DB" w:rsidP="007946DB">
            <w:pPr>
              <w:shd w:val="clear" w:color="auto" w:fill="FFFFFF"/>
            </w:pPr>
            <w:r w:rsidRPr="007946DB">
              <w:t>£500</w:t>
            </w:r>
          </w:p>
          <w:p w14:paraId="66A4201B" w14:textId="7EECEBEA" w:rsidR="007946DB" w:rsidRPr="007946DB" w:rsidRDefault="007946DB" w:rsidP="007946DB">
            <w:pPr>
              <w:shd w:val="clear" w:color="auto" w:fill="FFFFFF"/>
            </w:pPr>
          </w:p>
        </w:tc>
        <w:tc>
          <w:tcPr>
            <w:tcW w:w="1559" w:type="dxa"/>
          </w:tcPr>
          <w:p w14:paraId="7546AC13" w14:textId="77777777" w:rsidR="007946DB" w:rsidRPr="007946DB" w:rsidRDefault="007946DB" w:rsidP="007946DB">
            <w:pPr>
              <w:shd w:val="clear" w:color="auto" w:fill="FFFFFF"/>
            </w:pPr>
            <w:r w:rsidRPr="007946DB">
              <w:t>N/A</w:t>
            </w:r>
          </w:p>
          <w:p w14:paraId="6537F28F" w14:textId="77777777" w:rsidR="007946DB" w:rsidRPr="007946DB" w:rsidRDefault="007946DB" w:rsidP="007946DB">
            <w:pPr>
              <w:shd w:val="clear" w:color="auto" w:fill="FFFFFF"/>
            </w:pPr>
          </w:p>
          <w:p w14:paraId="0AB43CE2" w14:textId="77777777" w:rsidR="007946DB" w:rsidRPr="007946DB" w:rsidRDefault="007946DB" w:rsidP="007946DB">
            <w:pPr>
              <w:shd w:val="clear" w:color="auto" w:fill="FFFFFF"/>
            </w:pPr>
            <w:r w:rsidRPr="007946DB">
              <w:t xml:space="preserve">Catch up funding </w:t>
            </w:r>
          </w:p>
        </w:tc>
        <w:tc>
          <w:tcPr>
            <w:tcW w:w="1875" w:type="dxa"/>
            <w:shd w:val="clear" w:color="auto" w:fill="auto"/>
          </w:tcPr>
          <w:p w14:paraId="6DFB9E20" w14:textId="77777777" w:rsidR="007946DB" w:rsidRPr="00040C6E" w:rsidRDefault="007946DB" w:rsidP="007946DB">
            <w:pPr>
              <w:shd w:val="clear" w:color="auto" w:fill="FFFFFF"/>
              <w:rPr>
                <w:highlight w:val="green"/>
              </w:rPr>
            </w:pPr>
          </w:p>
        </w:tc>
        <w:tc>
          <w:tcPr>
            <w:tcW w:w="2803" w:type="dxa"/>
            <w:shd w:val="clear" w:color="auto" w:fill="auto"/>
          </w:tcPr>
          <w:p w14:paraId="70DF9E56" w14:textId="77777777" w:rsidR="007946DB" w:rsidRPr="00040C6E" w:rsidRDefault="007946DB" w:rsidP="007946DB">
            <w:pPr>
              <w:shd w:val="clear" w:color="auto" w:fill="FFFFFF"/>
              <w:rPr>
                <w:highlight w:val="green"/>
              </w:rPr>
            </w:pPr>
          </w:p>
        </w:tc>
      </w:tr>
      <w:tr w:rsidR="007946DB" w:rsidRPr="00EA04AD" w14:paraId="0FC7BB6D" w14:textId="77777777" w:rsidTr="0D4223EB">
        <w:tc>
          <w:tcPr>
            <w:tcW w:w="6944" w:type="dxa"/>
            <w:gridSpan w:val="3"/>
          </w:tcPr>
          <w:p w14:paraId="532772FC" w14:textId="77777777" w:rsidR="007946DB" w:rsidRPr="00EA04AD" w:rsidRDefault="007946DB" w:rsidP="007946DB">
            <w:pPr>
              <w:shd w:val="clear" w:color="auto" w:fill="FFFFFF"/>
              <w:jc w:val="right"/>
            </w:pPr>
            <w:r w:rsidRPr="00EA04AD">
              <w:t>Total Costs</w:t>
            </w:r>
          </w:p>
        </w:tc>
        <w:tc>
          <w:tcPr>
            <w:tcW w:w="1953" w:type="dxa"/>
          </w:tcPr>
          <w:p w14:paraId="57C12D35" w14:textId="084715D8" w:rsidR="007946DB" w:rsidRDefault="007946DB" w:rsidP="007946DB">
            <w:pPr>
              <w:shd w:val="clear" w:color="auto" w:fill="FFFFFF" w:themeFill="background1"/>
            </w:pPr>
            <w:r>
              <w:t>£22,010 +</w:t>
            </w:r>
          </w:p>
          <w:p w14:paraId="44D7C200" w14:textId="6DA385C8" w:rsidR="007946DB" w:rsidRPr="00C621D1" w:rsidRDefault="007946DB" w:rsidP="007946DB">
            <w:pPr>
              <w:shd w:val="clear" w:color="auto" w:fill="FFFFFF" w:themeFill="background1"/>
            </w:pPr>
            <w:r>
              <w:t>£4k donation</w:t>
            </w:r>
          </w:p>
          <w:p w14:paraId="7DCD6FEB" w14:textId="410F317A" w:rsidR="007946DB" w:rsidRPr="00C621D1" w:rsidRDefault="007946DB" w:rsidP="007946DB">
            <w:pPr>
              <w:shd w:val="clear" w:color="auto" w:fill="FFFFFF" w:themeFill="background1"/>
              <w:rPr>
                <w:highlight w:val="yellow"/>
              </w:rPr>
            </w:pPr>
          </w:p>
        </w:tc>
        <w:tc>
          <w:tcPr>
            <w:tcW w:w="1559" w:type="dxa"/>
          </w:tcPr>
          <w:p w14:paraId="511EBE65" w14:textId="77777777" w:rsidR="007946DB" w:rsidRDefault="007946DB" w:rsidP="007946DB">
            <w:pPr>
              <w:shd w:val="clear" w:color="auto" w:fill="FFFFFF"/>
            </w:pPr>
            <w:r>
              <w:t>Budget</w:t>
            </w:r>
          </w:p>
          <w:p w14:paraId="3B7B4B86" w14:textId="77777777" w:rsidR="007946DB" w:rsidRPr="00EA04AD" w:rsidRDefault="007946DB" w:rsidP="007946DB">
            <w:pPr>
              <w:shd w:val="clear" w:color="auto" w:fill="FFFFFF"/>
            </w:pPr>
          </w:p>
        </w:tc>
        <w:tc>
          <w:tcPr>
            <w:tcW w:w="1875" w:type="dxa"/>
            <w:shd w:val="clear" w:color="auto" w:fill="auto"/>
          </w:tcPr>
          <w:p w14:paraId="3A0FF5F2" w14:textId="77777777" w:rsidR="007946DB" w:rsidRPr="00EA04AD" w:rsidRDefault="007946DB" w:rsidP="007946DB">
            <w:pPr>
              <w:shd w:val="clear" w:color="auto" w:fill="FFFFFF"/>
            </w:pPr>
          </w:p>
        </w:tc>
        <w:tc>
          <w:tcPr>
            <w:tcW w:w="2803" w:type="dxa"/>
            <w:shd w:val="clear" w:color="auto" w:fill="auto"/>
          </w:tcPr>
          <w:p w14:paraId="5630AD66" w14:textId="77777777" w:rsidR="007946DB" w:rsidRPr="00EA04AD" w:rsidRDefault="007946DB" w:rsidP="007946DB">
            <w:pPr>
              <w:shd w:val="clear" w:color="auto" w:fill="FFFFFF"/>
            </w:pPr>
          </w:p>
        </w:tc>
      </w:tr>
    </w:tbl>
    <w:p w14:paraId="61829076" w14:textId="77777777" w:rsidR="008D239D" w:rsidRPr="00EA04AD" w:rsidRDefault="008D239D" w:rsidP="00EA04AD">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7562"/>
      </w:tblGrid>
      <w:tr w:rsidR="0021744E" w:rsidRPr="00EA04AD" w14:paraId="0A662F8A" w14:textId="77777777" w:rsidTr="006C4415">
        <w:trPr>
          <w:trHeight w:val="483"/>
        </w:trPr>
        <w:tc>
          <w:tcPr>
            <w:tcW w:w="7676" w:type="dxa"/>
            <w:shd w:val="clear" w:color="auto" w:fill="4F81BD"/>
          </w:tcPr>
          <w:p w14:paraId="21B0E9DB" w14:textId="77777777" w:rsidR="0021744E" w:rsidRDefault="0021744E" w:rsidP="00995045">
            <w:pPr>
              <w:pStyle w:val="Heading1"/>
            </w:pPr>
            <w:r>
              <w:t>Procedures for Monitoring Actions</w:t>
            </w:r>
          </w:p>
        </w:tc>
        <w:tc>
          <w:tcPr>
            <w:tcW w:w="7676" w:type="dxa"/>
            <w:shd w:val="clear" w:color="auto" w:fill="4F81BD"/>
          </w:tcPr>
          <w:p w14:paraId="26A67E35" w14:textId="77777777" w:rsidR="0021744E" w:rsidRDefault="0021744E" w:rsidP="00995045">
            <w:r>
              <w:t>Procedures for monitoring Impact</w:t>
            </w:r>
          </w:p>
        </w:tc>
      </w:tr>
      <w:tr w:rsidR="00971CC0" w:rsidRPr="00EA04AD" w14:paraId="6342B65D" w14:textId="77777777" w:rsidTr="008D239D">
        <w:tc>
          <w:tcPr>
            <w:tcW w:w="7676" w:type="dxa"/>
          </w:tcPr>
          <w:p w14:paraId="6BB51738" w14:textId="77777777" w:rsidR="00727983" w:rsidRDefault="006C4415" w:rsidP="00A47E9C">
            <w:pPr>
              <w:numPr>
                <w:ilvl w:val="0"/>
                <w:numId w:val="7"/>
              </w:numPr>
              <w:shd w:val="clear" w:color="auto" w:fill="FFFFFF"/>
            </w:pPr>
            <w:r>
              <w:t>Termly report on progress through HT report</w:t>
            </w:r>
          </w:p>
          <w:p w14:paraId="7034265A" w14:textId="77777777" w:rsidR="006C4415" w:rsidRDefault="006C4415" w:rsidP="00A47E9C">
            <w:pPr>
              <w:numPr>
                <w:ilvl w:val="0"/>
                <w:numId w:val="7"/>
              </w:numPr>
              <w:shd w:val="clear" w:color="auto" w:fill="FFFFFF"/>
            </w:pPr>
            <w:r>
              <w:t>SMT to monitor impact of strategies across their teams</w:t>
            </w:r>
          </w:p>
          <w:p w14:paraId="148FF549" w14:textId="77777777" w:rsidR="006C4415" w:rsidRPr="00EA04AD" w:rsidRDefault="006C4415" w:rsidP="00A47E9C">
            <w:pPr>
              <w:numPr>
                <w:ilvl w:val="0"/>
                <w:numId w:val="7"/>
              </w:numPr>
              <w:shd w:val="clear" w:color="auto" w:fill="FFFFFF"/>
            </w:pPr>
            <w:r>
              <w:t>SLT to monitor impact through data</w:t>
            </w:r>
          </w:p>
        </w:tc>
        <w:tc>
          <w:tcPr>
            <w:tcW w:w="7676" w:type="dxa"/>
          </w:tcPr>
          <w:p w14:paraId="5039BB99" w14:textId="77777777" w:rsidR="00727983" w:rsidRDefault="006C4415" w:rsidP="00A47E9C">
            <w:pPr>
              <w:numPr>
                <w:ilvl w:val="0"/>
                <w:numId w:val="6"/>
              </w:numPr>
              <w:shd w:val="clear" w:color="auto" w:fill="FFFFFF"/>
            </w:pPr>
            <w:r>
              <w:t>Tracking</w:t>
            </w:r>
          </w:p>
          <w:p w14:paraId="56BE53F9" w14:textId="77777777" w:rsidR="006C4415" w:rsidRDefault="006C4415" w:rsidP="00A47E9C">
            <w:pPr>
              <w:numPr>
                <w:ilvl w:val="0"/>
                <w:numId w:val="6"/>
              </w:numPr>
              <w:shd w:val="clear" w:color="auto" w:fill="FFFFFF"/>
            </w:pPr>
            <w:r>
              <w:t xml:space="preserve">QFT </w:t>
            </w:r>
          </w:p>
          <w:p w14:paraId="2A8A1C99" w14:textId="77777777" w:rsidR="006C4415" w:rsidRPr="00EA04AD" w:rsidRDefault="006C4415" w:rsidP="00A47E9C">
            <w:pPr>
              <w:numPr>
                <w:ilvl w:val="0"/>
                <w:numId w:val="6"/>
              </w:numPr>
              <w:shd w:val="clear" w:color="auto" w:fill="FFFFFF"/>
            </w:pPr>
            <w:r>
              <w:t>Work sampling</w:t>
            </w:r>
          </w:p>
        </w:tc>
      </w:tr>
    </w:tbl>
    <w:p w14:paraId="2BA226A1" w14:textId="77777777" w:rsidR="008D239D" w:rsidRPr="00EA04AD" w:rsidRDefault="008D239D" w:rsidP="00EA04AD">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6"/>
      </w:tblGrid>
      <w:tr w:rsidR="0021744E" w:rsidRPr="00EA04AD" w14:paraId="18F96D2C" w14:textId="77777777" w:rsidTr="17B6C6A9">
        <w:tc>
          <w:tcPr>
            <w:tcW w:w="15352" w:type="dxa"/>
            <w:shd w:val="clear" w:color="auto" w:fill="4F81BD"/>
          </w:tcPr>
          <w:p w14:paraId="7AA2C2B8" w14:textId="77777777" w:rsidR="0021744E" w:rsidRDefault="0021744E">
            <w:r w:rsidRPr="00623280">
              <w:t>Intended Impact (see overall target)</w:t>
            </w:r>
          </w:p>
        </w:tc>
      </w:tr>
      <w:tr w:rsidR="008D239D" w:rsidRPr="00EA04AD" w14:paraId="17AD93B2" w14:textId="77777777" w:rsidTr="17B6C6A9">
        <w:tc>
          <w:tcPr>
            <w:tcW w:w="15352" w:type="dxa"/>
          </w:tcPr>
          <w:p w14:paraId="05C7CA20" w14:textId="30BEB437" w:rsidR="008D239D" w:rsidRPr="00EA04AD" w:rsidRDefault="575B0253" w:rsidP="17B6C6A9">
            <w:pPr>
              <w:shd w:val="clear" w:color="auto" w:fill="FFFFFF" w:themeFill="background1"/>
            </w:pPr>
            <w:r>
              <w:t>Children who have experienced disruption in their education</w:t>
            </w:r>
            <w:r w:rsidR="6BECD473">
              <w:t>,</w:t>
            </w:r>
            <w:r>
              <w:t xml:space="preserve"> due to lockdown and bubble</w:t>
            </w:r>
            <w:r w:rsidR="0C11701E">
              <w:t xml:space="preserve"> isolation</w:t>
            </w:r>
            <w:r w:rsidR="7ED51EF9">
              <w:t>,</w:t>
            </w:r>
            <w:r w:rsidR="0C11701E">
              <w:t xml:space="preserve"> are</w:t>
            </w:r>
            <w:r w:rsidR="208951AB">
              <w:t>:</w:t>
            </w:r>
            <w:r w:rsidR="0C11701E">
              <w:t xml:space="preserve"> </w:t>
            </w:r>
          </w:p>
          <w:p w14:paraId="2F427071" w14:textId="6D8CAF28" w:rsidR="008D239D" w:rsidRPr="00EA04AD" w:rsidRDefault="0C11701E" w:rsidP="17B6C6A9">
            <w:pPr>
              <w:pStyle w:val="ListParagraph"/>
              <w:numPr>
                <w:ilvl w:val="0"/>
                <w:numId w:val="2"/>
              </w:numPr>
              <w:shd w:val="clear" w:color="auto" w:fill="FFFFFF" w:themeFill="background1"/>
              <w:rPr>
                <w:rFonts w:eastAsia="Lucida Sans Unicode" w:cs="Lucida Sans Unicode"/>
              </w:rPr>
            </w:pPr>
            <w:proofErr w:type="gramStart"/>
            <w:r>
              <w:t>supported</w:t>
            </w:r>
            <w:proofErr w:type="gramEnd"/>
            <w:r>
              <w:t xml:space="preserve"> in </w:t>
            </w:r>
            <w:r w:rsidR="639A5E11">
              <w:t>their access to education at home</w:t>
            </w:r>
            <w:r w:rsidR="3C449F93">
              <w:t xml:space="preserve"> through provision of technology where needed.</w:t>
            </w:r>
          </w:p>
          <w:p w14:paraId="28CB81F0" w14:textId="5AB17754" w:rsidR="008D239D" w:rsidRPr="00EA04AD" w:rsidRDefault="3C449F93" w:rsidP="17B6C6A9">
            <w:pPr>
              <w:pStyle w:val="ListParagraph"/>
              <w:numPr>
                <w:ilvl w:val="0"/>
                <w:numId w:val="2"/>
              </w:numPr>
              <w:shd w:val="clear" w:color="auto" w:fill="FFFFFF" w:themeFill="background1"/>
            </w:pPr>
            <w:r>
              <w:t>Supported in their education at home through provision of both online and paper</w:t>
            </w:r>
            <w:r w:rsidR="4DC9E97F">
              <w:t>-</w:t>
            </w:r>
            <w:r>
              <w:t>based learning appropriate to their level of attainment.</w:t>
            </w:r>
          </w:p>
          <w:p w14:paraId="5096A97D" w14:textId="7AE8DB1A" w:rsidR="008D239D" w:rsidRPr="00EA04AD" w:rsidRDefault="3C449F93" w:rsidP="17B6C6A9">
            <w:pPr>
              <w:pStyle w:val="ListParagraph"/>
              <w:numPr>
                <w:ilvl w:val="0"/>
                <w:numId w:val="2"/>
              </w:numPr>
              <w:shd w:val="clear" w:color="auto" w:fill="FFFFFF" w:themeFill="background1"/>
            </w:pPr>
            <w:r>
              <w:t>Supported in closing their attainment gap through Quality first Teaching.</w:t>
            </w:r>
          </w:p>
          <w:p w14:paraId="25D5A50B" w14:textId="60E98915" w:rsidR="008D239D" w:rsidRPr="00EA04AD" w:rsidRDefault="3C449F93" w:rsidP="17B6C6A9">
            <w:pPr>
              <w:pStyle w:val="ListParagraph"/>
              <w:numPr>
                <w:ilvl w:val="0"/>
                <w:numId w:val="2"/>
              </w:numPr>
              <w:shd w:val="clear" w:color="auto" w:fill="FFFFFF" w:themeFill="background1"/>
            </w:pPr>
            <w:r>
              <w:t>Supported in closing their learning gap through targeted intervention by Academic Mentors</w:t>
            </w:r>
            <w:r w:rsidR="093366E5">
              <w:t xml:space="preserve"> using quality intervention materials.</w:t>
            </w:r>
          </w:p>
          <w:p w14:paraId="433D06CA" w14:textId="21740045" w:rsidR="008D239D" w:rsidRPr="00EA04AD" w:rsidRDefault="008D239D" w:rsidP="17B6C6A9">
            <w:pPr>
              <w:pStyle w:val="ListParagraph"/>
              <w:numPr>
                <w:ilvl w:val="0"/>
                <w:numId w:val="2"/>
              </w:numPr>
              <w:shd w:val="clear" w:color="auto" w:fill="FFFFFF" w:themeFill="background1"/>
              <w:rPr>
                <w:rFonts w:eastAsia="Lucida Sans Unicode" w:cs="Lucida Sans Unicode"/>
              </w:rPr>
            </w:pPr>
          </w:p>
          <w:p w14:paraId="0DE4B5B7" w14:textId="3B9E12B4" w:rsidR="008D239D" w:rsidRPr="00EA04AD" w:rsidRDefault="008D239D" w:rsidP="17B6C6A9">
            <w:pPr>
              <w:shd w:val="clear" w:color="auto" w:fill="FFFFFF" w:themeFill="background1"/>
            </w:pPr>
          </w:p>
        </w:tc>
      </w:tr>
    </w:tbl>
    <w:p w14:paraId="66204FF1" w14:textId="77777777" w:rsidR="008D239D" w:rsidRDefault="008D239D">
      <w:pPr>
        <w:rPr>
          <w:b/>
        </w:rPr>
      </w:pPr>
    </w:p>
    <w:sectPr w:rsidR="008D239D">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B79"/>
    <w:multiLevelType w:val="hybridMultilevel"/>
    <w:tmpl w:val="4BCAE63E"/>
    <w:lvl w:ilvl="0" w:tplc="973A048A">
      <w:start w:val="1"/>
      <w:numFmt w:val="bullet"/>
      <w:lvlText w:val=""/>
      <w:lvlJc w:val="left"/>
      <w:pPr>
        <w:ind w:left="720" w:hanging="360"/>
      </w:pPr>
      <w:rPr>
        <w:rFonts w:ascii="Symbol" w:hAnsi="Symbol" w:hint="default"/>
      </w:rPr>
    </w:lvl>
    <w:lvl w:ilvl="1" w:tplc="98D485EE">
      <w:start w:val="1"/>
      <w:numFmt w:val="bullet"/>
      <w:lvlText w:val="o"/>
      <w:lvlJc w:val="left"/>
      <w:pPr>
        <w:ind w:left="1440" w:hanging="360"/>
      </w:pPr>
      <w:rPr>
        <w:rFonts w:ascii="Courier New" w:hAnsi="Courier New" w:hint="default"/>
      </w:rPr>
    </w:lvl>
    <w:lvl w:ilvl="2" w:tplc="859C4890">
      <w:start w:val="1"/>
      <w:numFmt w:val="bullet"/>
      <w:lvlText w:val=""/>
      <w:lvlJc w:val="left"/>
      <w:pPr>
        <w:ind w:left="2160" w:hanging="360"/>
      </w:pPr>
      <w:rPr>
        <w:rFonts w:ascii="Wingdings" w:hAnsi="Wingdings" w:hint="default"/>
      </w:rPr>
    </w:lvl>
    <w:lvl w:ilvl="3" w:tplc="133E85CC">
      <w:start w:val="1"/>
      <w:numFmt w:val="bullet"/>
      <w:lvlText w:val=""/>
      <w:lvlJc w:val="left"/>
      <w:pPr>
        <w:ind w:left="2880" w:hanging="360"/>
      </w:pPr>
      <w:rPr>
        <w:rFonts w:ascii="Symbol" w:hAnsi="Symbol" w:hint="default"/>
      </w:rPr>
    </w:lvl>
    <w:lvl w:ilvl="4" w:tplc="7D12AD80">
      <w:start w:val="1"/>
      <w:numFmt w:val="bullet"/>
      <w:lvlText w:val="o"/>
      <w:lvlJc w:val="left"/>
      <w:pPr>
        <w:ind w:left="3600" w:hanging="360"/>
      </w:pPr>
      <w:rPr>
        <w:rFonts w:ascii="Courier New" w:hAnsi="Courier New" w:hint="default"/>
      </w:rPr>
    </w:lvl>
    <w:lvl w:ilvl="5" w:tplc="BA34DA7A">
      <w:start w:val="1"/>
      <w:numFmt w:val="bullet"/>
      <w:lvlText w:val=""/>
      <w:lvlJc w:val="left"/>
      <w:pPr>
        <w:ind w:left="4320" w:hanging="360"/>
      </w:pPr>
      <w:rPr>
        <w:rFonts w:ascii="Wingdings" w:hAnsi="Wingdings" w:hint="default"/>
      </w:rPr>
    </w:lvl>
    <w:lvl w:ilvl="6" w:tplc="2B94580A">
      <w:start w:val="1"/>
      <w:numFmt w:val="bullet"/>
      <w:lvlText w:val=""/>
      <w:lvlJc w:val="left"/>
      <w:pPr>
        <w:ind w:left="5040" w:hanging="360"/>
      </w:pPr>
      <w:rPr>
        <w:rFonts w:ascii="Symbol" w:hAnsi="Symbol" w:hint="default"/>
      </w:rPr>
    </w:lvl>
    <w:lvl w:ilvl="7" w:tplc="C91E0290">
      <w:start w:val="1"/>
      <w:numFmt w:val="bullet"/>
      <w:lvlText w:val="o"/>
      <w:lvlJc w:val="left"/>
      <w:pPr>
        <w:ind w:left="5760" w:hanging="360"/>
      </w:pPr>
      <w:rPr>
        <w:rFonts w:ascii="Courier New" w:hAnsi="Courier New" w:hint="default"/>
      </w:rPr>
    </w:lvl>
    <w:lvl w:ilvl="8" w:tplc="BD54B210">
      <w:start w:val="1"/>
      <w:numFmt w:val="bullet"/>
      <w:lvlText w:val=""/>
      <w:lvlJc w:val="left"/>
      <w:pPr>
        <w:ind w:left="6480" w:hanging="360"/>
      </w:pPr>
      <w:rPr>
        <w:rFonts w:ascii="Wingdings" w:hAnsi="Wingdings" w:hint="default"/>
      </w:rPr>
    </w:lvl>
  </w:abstractNum>
  <w:abstractNum w:abstractNumId="1" w15:restartNumberingAfterBreak="0">
    <w:nsid w:val="0A28468D"/>
    <w:multiLevelType w:val="hybridMultilevel"/>
    <w:tmpl w:val="C8DC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60EC5"/>
    <w:multiLevelType w:val="hybridMultilevel"/>
    <w:tmpl w:val="D4AC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654CE"/>
    <w:multiLevelType w:val="hybridMultilevel"/>
    <w:tmpl w:val="E1D6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F5F46"/>
    <w:multiLevelType w:val="hybridMultilevel"/>
    <w:tmpl w:val="8E6C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C62F3"/>
    <w:multiLevelType w:val="hybridMultilevel"/>
    <w:tmpl w:val="8B1C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33FEB"/>
    <w:multiLevelType w:val="hybridMultilevel"/>
    <w:tmpl w:val="A1085852"/>
    <w:lvl w:ilvl="0" w:tplc="C7800A64">
      <w:start w:val="1"/>
      <w:numFmt w:val="bullet"/>
      <w:lvlText w:val=""/>
      <w:lvlJc w:val="left"/>
      <w:pPr>
        <w:ind w:left="720" w:hanging="360"/>
      </w:pPr>
      <w:rPr>
        <w:rFonts w:ascii="Symbol" w:hAnsi="Symbol" w:hint="default"/>
      </w:rPr>
    </w:lvl>
    <w:lvl w:ilvl="1" w:tplc="1BA29FEA">
      <w:start w:val="1"/>
      <w:numFmt w:val="bullet"/>
      <w:lvlText w:val="o"/>
      <w:lvlJc w:val="left"/>
      <w:pPr>
        <w:ind w:left="1440" w:hanging="360"/>
      </w:pPr>
      <w:rPr>
        <w:rFonts w:ascii="Courier New" w:hAnsi="Courier New" w:hint="default"/>
      </w:rPr>
    </w:lvl>
    <w:lvl w:ilvl="2" w:tplc="570862CE">
      <w:start w:val="1"/>
      <w:numFmt w:val="bullet"/>
      <w:lvlText w:val=""/>
      <w:lvlJc w:val="left"/>
      <w:pPr>
        <w:ind w:left="2160" w:hanging="360"/>
      </w:pPr>
      <w:rPr>
        <w:rFonts w:ascii="Wingdings" w:hAnsi="Wingdings" w:hint="default"/>
      </w:rPr>
    </w:lvl>
    <w:lvl w:ilvl="3" w:tplc="01D25024">
      <w:start w:val="1"/>
      <w:numFmt w:val="bullet"/>
      <w:lvlText w:val=""/>
      <w:lvlJc w:val="left"/>
      <w:pPr>
        <w:ind w:left="2880" w:hanging="360"/>
      </w:pPr>
      <w:rPr>
        <w:rFonts w:ascii="Symbol" w:hAnsi="Symbol" w:hint="default"/>
      </w:rPr>
    </w:lvl>
    <w:lvl w:ilvl="4" w:tplc="D026CFEC">
      <w:start w:val="1"/>
      <w:numFmt w:val="bullet"/>
      <w:lvlText w:val="o"/>
      <w:lvlJc w:val="left"/>
      <w:pPr>
        <w:ind w:left="3600" w:hanging="360"/>
      </w:pPr>
      <w:rPr>
        <w:rFonts w:ascii="Courier New" w:hAnsi="Courier New" w:hint="default"/>
      </w:rPr>
    </w:lvl>
    <w:lvl w:ilvl="5" w:tplc="3B48C4FA">
      <w:start w:val="1"/>
      <w:numFmt w:val="bullet"/>
      <w:lvlText w:val=""/>
      <w:lvlJc w:val="left"/>
      <w:pPr>
        <w:ind w:left="4320" w:hanging="360"/>
      </w:pPr>
      <w:rPr>
        <w:rFonts w:ascii="Wingdings" w:hAnsi="Wingdings" w:hint="default"/>
      </w:rPr>
    </w:lvl>
    <w:lvl w:ilvl="6" w:tplc="48704684">
      <w:start w:val="1"/>
      <w:numFmt w:val="bullet"/>
      <w:lvlText w:val=""/>
      <w:lvlJc w:val="left"/>
      <w:pPr>
        <w:ind w:left="5040" w:hanging="360"/>
      </w:pPr>
      <w:rPr>
        <w:rFonts w:ascii="Symbol" w:hAnsi="Symbol" w:hint="default"/>
      </w:rPr>
    </w:lvl>
    <w:lvl w:ilvl="7" w:tplc="AC329BE4">
      <w:start w:val="1"/>
      <w:numFmt w:val="bullet"/>
      <w:lvlText w:val="o"/>
      <w:lvlJc w:val="left"/>
      <w:pPr>
        <w:ind w:left="5760" w:hanging="360"/>
      </w:pPr>
      <w:rPr>
        <w:rFonts w:ascii="Courier New" w:hAnsi="Courier New" w:hint="default"/>
      </w:rPr>
    </w:lvl>
    <w:lvl w:ilvl="8" w:tplc="F49A3B44">
      <w:start w:val="1"/>
      <w:numFmt w:val="bullet"/>
      <w:lvlText w:val=""/>
      <w:lvlJc w:val="left"/>
      <w:pPr>
        <w:ind w:left="6480" w:hanging="360"/>
      </w:pPr>
      <w:rPr>
        <w:rFonts w:ascii="Wingdings" w:hAnsi="Wingdings" w:hint="default"/>
      </w:rPr>
    </w:lvl>
  </w:abstractNum>
  <w:abstractNum w:abstractNumId="7" w15:restartNumberingAfterBreak="0">
    <w:nsid w:val="5CC71532"/>
    <w:multiLevelType w:val="hybridMultilevel"/>
    <w:tmpl w:val="CA18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E778E"/>
    <w:multiLevelType w:val="hybridMultilevel"/>
    <w:tmpl w:val="9362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00AA1"/>
    <w:multiLevelType w:val="hybridMultilevel"/>
    <w:tmpl w:val="CD7C8C74"/>
    <w:lvl w:ilvl="0" w:tplc="EA7AF2D4">
      <w:start w:val="1"/>
      <w:numFmt w:val="bullet"/>
      <w:lvlText w:val=""/>
      <w:lvlJc w:val="left"/>
      <w:pPr>
        <w:ind w:left="720" w:hanging="360"/>
      </w:pPr>
      <w:rPr>
        <w:rFonts w:ascii="Symbol" w:hAnsi="Symbol" w:hint="default"/>
      </w:rPr>
    </w:lvl>
    <w:lvl w:ilvl="1" w:tplc="5E067F14">
      <w:start w:val="1"/>
      <w:numFmt w:val="bullet"/>
      <w:lvlText w:val="o"/>
      <w:lvlJc w:val="left"/>
      <w:pPr>
        <w:ind w:left="1440" w:hanging="360"/>
      </w:pPr>
      <w:rPr>
        <w:rFonts w:ascii="Courier New" w:hAnsi="Courier New" w:hint="default"/>
      </w:rPr>
    </w:lvl>
    <w:lvl w:ilvl="2" w:tplc="B7A4800E">
      <w:start w:val="1"/>
      <w:numFmt w:val="bullet"/>
      <w:lvlText w:val=""/>
      <w:lvlJc w:val="left"/>
      <w:pPr>
        <w:ind w:left="2160" w:hanging="360"/>
      </w:pPr>
      <w:rPr>
        <w:rFonts w:ascii="Wingdings" w:hAnsi="Wingdings" w:hint="default"/>
      </w:rPr>
    </w:lvl>
    <w:lvl w:ilvl="3" w:tplc="39C4690E">
      <w:start w:val="1"/>
      <w:numFmt w:val="bullet"/>
      <w:lvlText w:val=""/>
      <w:lvlJc w:val="left"/>
      <w:pPr>
        <w:ind w:left="2880" w:hanging="360"/>
      </w:pPr>
      <w:rPr>
        <w:rFonts w:ascii="Symbol" w:hAnsi="Symbol" w:hint="default"/>
      </w:rPr>
    </w:lvl>
    <w:lvl w:ilvl="4" w:tplc="D5746532">
      <w:start w:val="1"/>
      <w:numFmt w:val="bullet"/>
      <w:lvlText w:val="o"/>
      <w:lvlJc w:val="left"/>
      <w:pPr>
        <w:ind w:left="3600" w:hanging="360"/>
      </w:pPr>
      <w:rPr>
        <w:rFonts w:ascii="Courier New" w:hAnsi="Courier New" w:hint="default"/>
      </w:rPr>
    </w:lvl>
    <w:lvl w:ilvl="5" w:tplc="987C48C2">
      <w:start w:val="1"/>
      <w:numFmt w:val="bullet"/>
      <w:lvlText w:val=""/>
      <w:lvlJc w:val="left"/>
      <w:pPr>
        <w:ind w:left="4320" w:hanging="360"/>
      </w:pPr>
      <w:rPr>
        <w:rFonts w:ascii="Wingdings" w:hAnsi="Wingdings" w:hint="default"/>
      </w:rPr>
    </w:lvl>
    <w:lvl w:ilvl="6" w:tplc="8754495E">
      <w:start w:val="1"/>
      <w:numFmt w:val="bullet"/>
      <w:lvlText w:val=""/>
      <w:lvlJc w:val="left"/>
      <w:pPr>
        <w:ind w:left="5040" w:hanging="360"/>
      </w:pPr>
      <w:rPr>
        <w:rFonts w:ascii="Symbol" w:hAnsi="Symbol" w:hint="default"/>
      </w:rPr>
    </w:lvl>
    <w:lvl w:ilvl="7" w:tplc="FDC8A726">
      <w:start w:val="1"/>
      <w:numFmt w:val="bullet"/>
      <w:lvlText w:val="o"/>
      <w:lvlJc w:val="left"/>
      <w:pPr>
        <w:ind w:left="5760" w:hanging="360"/>
      </w:pPr>
      <w:rPr>
        <w:rFonts w:ascii="Courier New" w:hAnsi="Courier New" w:hint="default"/>
      </w:rPr>
    </w:lvl>
    <w:lvl w:ilvl="8" w:tplc="0CCC46F8">
      <w:start w:val="1"/>
      <w:numFmt w:val="bullet"/>
      <w:lvlText w:val=""/>
      <w:lvlJc w:val="left"/>
      <w:pPr>
        <w:ind w:left="6480" w:hanging="360"/>
      </w:pPr>
      <w:rPr>
        <w:rFonts w:ascii="Wingdings" w:hAnsi="Wingdings" w:hint="default"/>
      </w:rPr>
    </w:lvl>
  </w:abstractNum>
  <w:abstractNum w:abstractNumId="10" w15:restartNumberingAfterBreak="0">
    <w:nsid w:val="76544708"/>
    <w:multiLevelType w:val="hybridMultilevel"/>
    <w:tmpl w:val="8FD4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23A0B"/>
    <w:multiLevelType w:val="hybridMultilevel"/>
    <w:tmpl w:val="DEFC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93678"/>
    <w:multiLevelType w:val="hybridMultilevel"/>
    <w:tmpl w:val="A63E2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9"/>
  </w:num>
  <w:num w:numId="4">
    <w:abstractNumId w:val="12"/>
  </w:num>
  <w:num w:numId="5">
    <w:abstractNumId w:val="2"/>
  </w:num>
  <w:num w:numId="6">
    <w:abstractNumId w:val="4"/>
  </w:num>
  <w:num w:numId="7">
    <w:abstractNumId w:val="10"/>
  </w:num>
  <w:num w:numId="8">
    <w:abstractNumId w:val="1"/>
  </w:num>
  <w:num w:numId="9">
    <w:abstractNumId w:val="3"/>
  </w:num>
  <w:num w:numId="10">
    <w:abstractNumId w:val="7"/>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71"/>
    <w:rsid w:val="00034297"/>
    <w:rsid w:val="0003484C"/>
    <w:rsid w:val="00040C6E"/>
    <w:rsid w:val="00041F92"/>
    <w:rsid w:val="00083E30"/>
    <w:rsid w:val="000D7270"/>
    <w:rsid w:val="000E1B95"/>
    <w:rsid w:val="000E7E37"/>
    <w:rsid w:val="000F5CFD"/>
    <w:rsid w:val="0010758A"/>
    <w:rsid w:val="001212A0"/>
    <w:rsid w:val="001D0DAA"/>
    <w:rsid w:val="00202490"/>
    <w:rsid w:val="00202C61"/>
    <w:rsid w:val="0021744E"/>
    <w:rsid w:val="00246477"/>
    <w:rsid w:val="00262D53"/>
    <w:rsid w:val="00275159"/>
    <w:rsid w:val="00283303"/>
    <w:rsid w:val="00300140"/>
    <w:rsid w:val="003045A0"/>
    <w:rsid w:val="0035739A"/>
    <w:rsid w:val="00385AE6"/>
    <w:rsid w:val="003918BB"/>
    <w:rsid w:val="003A4CCF"/>
    <w:rsid w:val="003B25BE"/>
    <w:rsid w:val="003C58A4"/>
    <w:rsid w:val="003E0A59"/>
    <w:rsid w:val="00454026"/>
    <w:rsid w:val="00462F32"/>
    <w:rsid w:val="004722E7"/>
    <w:rsid w:val="00483C92"/>
    <w:rsid w:val="004B34C6"/>
    <w:rsid w:val="004D21B7"/>
    <w:rsid w:val="004F5636"/>
    <w:rsid w:val="00564586"/>
    <w:rsid w:val="005712CE"/>
    <w:rsid w:val="005900BD"/>
    <w:rsid w:val="005C4289"/>
    <w:rsid w:val="005D21BD"/>
    <w:rsid w:val="005F4376"/>
    <w:rsid w:val="00611DB7"/>
    <w:rsid w:val="00617EC4"/>
    <w:rsid w:val="00630BCB"/>
    <w:rsid w:val="006310BF"/>
    <w:rsid w:val="006359C1"/>
    <w:rsid w:val="00676BBA"/>
    <w:rsid w:val="006C4415"/>
    <w:rsid w:val="006C58CF"/>
    <w:rsid w:val="006D76FD"/>
    <w:rsid w:val="006E5BDF"/>
    <w:rsid w:val="00710CBD"/>
    <w:rsid w:val="00727983"/>
    <w:rsid w:val="00731137"/>
    <w:rsid w:val="007526AD"/>
    <w:rsid w:val="00777FC3"/>
    <w:rsid w:val="00783A83"/>
    <w:rsid w:val="0078A216"/>
    <w:rsid w:val="0079142E"/>
    <w:rsid w:val="007946DB"/>
    <w:rsid w:val="007B35DD"/>
    <w:rsid w:val="007E5BF4"/>
    <w:rsid w:val="007E5E5C"/>
    <w:rsid w:val="00804A4E"/>
    <w:rsid w:val="00825F75"/>
    <w:rsid w:val="008805A4"/>
    <w:rsid w:val="00890D19"/>
    <w:rsid w:val="008D239D"/>
    <w:rsid w:val="00912158"/>
    <w:rsid w:val="009213BD"/>
    <w:rsid w:val="00937566"/>
    <w:rsid w:val="00971CC0"/>
    <w:rsid w:val="00995045"/>
    <w:rsid w:val="009A1787"/>
    <w:rsid w:val="009A1E02"/>
    <w:rsid w:val="009C4648"/>
    <w:rsid w:val="00A0017A"/>
    <w:rsid w:val="00A22544"/>
    <w:rsid w:val="00A40633"/>
    <w:rsid w:val="00A44943"/>
    <w:rsid w:val="00A468F0"/>
    <w:rsid w:val="00A47E9C"/>
    <w:rsid w:val="00A51936"/>
    <w:rsid w:val="00A56ACF"/>
    <w:rsid w:val="00A76C03"/>
    <w:rsid w:val="00AA1BC2"/>
    <w:rsid w:val="00AC6375"/>
    <w:rsid w:val="00B21BFA"/>
    <w:rsid w:val="00B468AA"/>
    <w:rsid w:val="00B6707F"/>
    <w:rsid w:val="00B75A71"/>
    <w:rsid w:val="00B8551B"/>
    <w:rsid w:val="00BB3421"/>
    <w:rsid w:val="00BB3B8B"/>
    <w:rsid w:val="00BB7E19"/>
    <w:rsid w:val="00BD55C8"/>
    <w:rsid w:val="00C16DB4"/>
    <w:rsid w:val="00C2541D"/>
    <w:rsid w:val="00C621D1"/>
    <w:rsid w:val="00C65C81"/>
    <w:rsid w:val="00C80F62"/>
    <w:rsid w:val="00C9342E"/>
    <w:rsid w:val="00CD7768"/>
    <w:rsid w:val="00CE5359"/>
    <w:rsid w:val="00D00C12"/>
    <w:rsid w:val="00D14965"/>
    <w:rsid w:val="00D261A3"/>
    <w:rsid w:val="00D40472"/>
    <w:rsid w:val="00DE51F4"/>
    <w:rsid w:val="00E2657F"/>
    <w:rsid w:val="00E51F06"/>
    <w:rsid w:val="00E575D8"/>
    <w:rsid w:val="00E6283D"/>
    <w:rsid w:val="00E74C73"/>
    <w:rsid w:val="00E80C24"/>
    <w:rsid w:val="00E91514"/>
    <w:rsid w:val="00EA04AD"/>
    <w:rsid w:val="00EC1999"/>
    <w:rsid w:val="00F35F2B"/>
    <w:rsid w:val="00F543F3"/>
    <w:rsid w:val="00F547C9"/>
    <w:rsid w:val="00F629F3"/>
    <w:rsid w:val="00F71F8B"/>
    <w:rsid w:val="00FC112A"/>
    <w:rsid w:val="00FF6185"/>
    <w:rsid w:val="015AACD6"/>
    <w:rsid w:val="01D73922"/>
    <w:rsid w:val="0214D9AC"/>
    <w:rsid w:val="027BD254"/>
    <w:rsid w:val="02E4BC2D"/>
    <w:rsid w:val="0362336C"/>
    <w:rsid w:val="03A9BFA7"/>
    <w:rsid w:val="03F9B8B6"/>
    <w:rsid w:val="075942A4"/>
    <w:rsid w:val="093366E5"/>
    <w:rsid w:val="0C11701E"/>
    <w:rsid w:val="0D4223EB"/>
    <w:rsid w:val="0D4246E0"/>
    <w:rsid w:val="0FAF755B"/>
    <w:rsid w:val="13B5A145"/>
    <w:rsid w:val="140085E0"/>
    <w:rsid w:val="17B6C6A9"/>
    <w:rsid w:val="1C5571A8"/>
    <w:rsid w:val="1DD03E64"/>
    <w:rsid w:val="1E3D8159"/>
    <w:rsid w:val="208951AB"/>
    <w:rsid w:val="208B236D"/>
    <w:rsid w:val="20DE6131"/>
    <w:rsid w:val="2420F08E"/>
    <w:rsid w:val="29B26B36"/>
    <w:rsid w:val="2E435C83"/>
    <w:rsid w:val="309EC077"/>
    <w:rsid w:val="31869763"/>
    <w:rsid w:val="336E528C"/>
    <w:rsid w:val="3634F6DF"/>
    <w:rsid w:val="37110598"/>
    <w:rsid w:val="3A4D4A55"/>
    <w:rsid w:val="3C449F93"/>
    <w:rsid w:val="3C659A68"/>
    <w:rsid w:val="3DEC0CA5"/>
    <w:rsid w:val="3FBDC8EB"/>
    <w:rsid w:val="3FD769C2"/>
    <w:rsid w:val="405AA7C1"/>
    <w:rsid w:val="45218EE0"/>
    <w:rsid w:val="457C7021"/>
    <w:rsid w:val="48571FFF"/>
    <w:rsid w:val="4DC9E97F"/>
    <w:rsid w:val="4EE7BF4A"/>
    <w:rsid w:val="4F5F252D"/>
    <w:rsid w:val="5077C685"/>
    <w:rsid w:val="51152081"/>
    <w:rsid w:val="5235B380"/>
    <w:rsid w:val="52882B08"/>
    <w:rsid w:val="575B0253"/>
    <w:rsid w:val="58C8ABB7"/>
    <w:rsid w:val="58D22964"/>
    <w:rsid w:val="5B0B5468"/>
    <w:rsid w:val="5B9E188E"/>
    <w:rsid w:val="5BED6097"/>
    <w:rsid w:val="5C4F0B84"/>
    <w:rsid w:val="60A76F02"/>
    <w:rsid w:val="6122FDDE"/>
    <w:rsid w:val="62C44833"/>
    <w:rsid w:val="639A5E11"/>
    <w:rsid w:val="66255166"/>
    <w:rsid w:val="6819CD18"/>
    <w:rsid w:val="68C05B9E"/>
    <w:rsid w:val="6BECD473"/>
    <w:rsid w:val="6C6C608D"/>
    <w:rsid w:val="6C6C73A1"/>
    <w:rsid w:val="6EF30AEF"/>
    <w:rsid w:val="70B8DAD3"/>
    <w:rsid w:val="70B9E441"/>
    <w:rsid w:val="71587C3E"/>
    <w:rsid w:val="749C3852"/>
    <w:rsid w:val="759A6524"/>
    <w:rsid w:val="75B4BB28"/>
    <w:rsid w:val="7643FC1A"/>
    <w:rsid w:val="767B910A"/>
    <w:rsid w:val="786592C5"/>
    <w:rsid w:val="795281D7"/>
    <w:rsid w:val="7E8E74BF"/>
    <w:rsid w:val="7ED51E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EB1FB"/>
  <w15:chartTrackingRefBased/>
  <w15:docId w15:val="{2C6EEA51-DBA3-4315-8669-E70F09A0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Unicode" w:hAnsi="Lucida Sans Unicode"/>
      <w:lang w:eastAsia="en-GB"/>
    </w:rPr>
  </w:style>
  <w:style w:type="paragraph" w:styleId="Heading1">
    <w:name w:val="heading 1"/>
    <w:basedOn w:val="Normal"/>
    <w:next w:val="Normal"/>
    <w:link w:val="Heading1Char"/>
    <w:qFormat/>
    <w:rsid w:val="00EA04AD"/>
    <w:pPr>
      <w:keepNext/>
      <w:outlineLvl w:val="0"/>
    </w:pPr>
    <w:rPr>
      <w:rFonts w:ascii="Comic Sans MS" w:hAnsi="Comic Sans MS"/>
      <w:b/>
      <w:bCs/>
      <w:lang w:eastAsia="en-US"/>
    </w:rPr>
  </w:style>
  <w:style w:type="paragraph" w:styleId="Heading2">
    <w:name w:val="heading 2"/>
    <w:basedOn w:val="Normal"/>
    <w:next w:val="Normal"/>
    <w:link w:val="Heading2Char"/>
    <w:qFormat/>
    <w:rsid w:val="00EA04AD"/>
    <w:pPr>
      <w:keepNext/>
      <w:jc w:val="center"/>
      <w:outlineLvl w:val="1"/>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112A"/>
  </w:style>
  <w:style w:type="character" w:customStyle="1" w:styleId="Heading1Char">
    <w:name w:val="Heading 1 Char"/>
    <w:link w:val="Heading1"/>
    <w:rsid w:val="00EA04AD"/>
    <w:rPr>
      <w:rFonts w:ascii="Comic Sans MS" w:hAnsi="Comic Sans MS"/>
      <w:b/>
      <w:bCs/>
      <w:lang w:eastAsia="en-US"/>
    </w:rPr>
  </w:style>
  <w:style w:type="character" w:customStyle="1" w:styleId="Heading2Char">
    <w:name w:val="Heading 2 Char"/>
    <w:link w:val="Heading2"/>
    <w:rsid w:val="00EA04AD"/>
    <w:rPr>
      <w:rFonts w:ascii="Comic Sans MS" w:hAnsi="Comic Sans MS"/>
      <w:b/>
      <w:bCs/>
      <w:lang w:eastAsia="en-US"/>
    </w:rPr>
  </w:style>
  <w:style w:type="paragraph" w:styleId="BalloonText">
    <w:name w:val="Balloon Text"/>
    <w:basedOn w:val="Normal"/>
    <w:link w:val="BalloonTextChar"/>
    <w:rsid w:val="00727983"/>
    <w:rPr>
      <w:rFonts w:ascii="Segoe UI" w:hAnsi="Segoe UI" w:cs="Segoe UI"/>
      <w:sz w:val="18"/>
      <w:szCs w:val="18"/>
    </w:rPr>
  </w:style>
  <w:style w:type="character" w:customStyle="1" w:styleId="BalloonTextChar">
    <w:name w:val="Balloon Text Char"/>
    <w:link w:val="BalloonText"/>
    <w:rsid w:val="00727983"/>
    <w:rPr>
      <w:rFonts w:ascii="Segoe UI" w:hAnsi="Segoe UI" w:cs="Segoe UI"/>
      <w:sz w:val="18"/>
      <w:szCs w:val="18"/>
    </w:rPr>
  </w:style>
  <w:style w:type="paragraph" w:styleId="NoSpacing">
    <w:name w:val="No Spacing"/>
    <w:uiPriority w:val="1"/>
    <w:qFormat/>
    <w:rsid w:val="00D40472"/>
    <w:rPr>
      <w:rFonts w:ascii="Lucida Sans Unicode" w:hAnsi="Lucida Sans Unicode"/>
      <w:lang w:eastAsia="en-GB"/>
    </w:rPr>
  </w:style>
  <w:style w:type="character" w:styleId="Hyperlink">
    <w:name w:val="Hyperlink"/>
    <w:rsid w:val="00262D53"/>
    <w:rPr>
      <w:color w:val="0563C1"/>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C453705B60B40BC8649C2FD716E3A" ma:contentTypeVersion="12" ma:contentTypeDescription="Create a new document." ma:contentTypeScope="" ma:versionID="09a19fa884cf0c0882f288e6ab6338f8">
  <xsd:schema xmlns:xsd="http://www.w3.org/2001/XMLSchema" xmlns:xs="http://www.w3.org/2001/XMLSchema" xmlns:p="http://schemas.microsoft.com/office/2006/metadata/properties" xmlns:ns2="785a5634-e696-4712-99e6-555859d185f3" xmlns:ns3="e6fcf225-fb01-441d-9d9a-d03ce06ded23" targetNamespace="http://schemas.microsoft.com/office/2006/metadata/properties" ma:root="true" ma:fieldsID="7ed4371e876f5a98a30acacc2544916f" ns2:_="" ns3:_="">
    <xsd:import namespace="785a5634-e696-4712-99e6-555859d185f3"/>
    <xsd:import namespace="e6fcf225-fb01-441d-9d9a-d03ce06ded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a5634-e696-4712-99e6-555859d185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fcf225-fb01-441d-9d9a-d03ce06ded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85a5634-e696-4712-99e6-555859d185f3">
      <UserInfo>
        <DisplayName>SMT Members</DisplayName>
        <AccountId>123</AccountId>
        <AccountType/>
      </UserInfo>
    </SharedWithUsers>
  </documentManagement>
</p:properties>
</file>

<file path=customXml/itemProps1.xml><?xml version="1.0" encoding="utf-8"?>
<ds:datastoreItem xmlns:ds="http://schemas.openxmlformats.org/officeDocument/2006/customXml" ds:itemID="{3F0DD1E1-AFBE-4174-A577-7FC641C5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a5634-e696-4712-99e6-555859d185f3"/>
    <ds:schemaRef ds:uri="e6fcf225-fb01-441d-9d9a-d03ce06de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FE393-97FD-47A0-9386-AC32F89C3E40}">
  <ds:schemaRefs>
    <ds:schemaRef ds:uri="http://schemas.microsoft.com/sharepoint/v3/contenttype/forms"/>
  </ds:schemaRefs>
</ds:datastoreItem>
</file>

<file path=customXml/itemProps3.xml><?xml version="1.0" encoding="utf-8"?>
<ds:datastoreItem xmlns:ds="http://schemas.openxmlformats.org/officeDocument/2006/customXml" ds:itemID="{C97BFC7F-61C7-4E0F-8C65-A57AE1199EC0}">
  <ds:schemaRefs>
    <ds:schemaRef ds:uri="http://schemas.microsoft.com/office/2006/metadata/properties"/>
    <ds:schemaRef ds:uri="http://schemas.microsoft.com/office/infopath/2007/PartnerControls"/>
    <ds:schemaRef ds:uri="785a5634-e696-4712-99e6-555859d185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Stephen's C.E. Primary School</dc:creator>
  <cp:keywords/>
  <dc:description/>
  <cp:lastModifiedBy>S Sandra</cp:lastModifiedBy>
  <cp:revision>3</cp:revision>
  <cp:lastPrinted>2020-12-04T11:49:00Z</cp:lastPrinted>
  <dcterms:created xsi:type="dcterms:W3CDTF">2021-03-16T14:46:00Z</dcterms:created>
  <dcterms:modified xsi:type="dcterms:W3CDTF">2021-03-16T14:47:00Z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0x010100352C453705B60B40BC8649C2FD716E3A</vt:lpwstr>
  </property>
</Properties>
</file>